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33"/>
        <w:rPr>
          <w:rFonts w:ascii="Times New Roman"/>
          <w:sz w:val="20"/>
        </w:rPr>
      </w:pPr>
      <w:r>
        <w:rPr>
          <w:rFonts w:ascii="Times New Roman"/>
          <w:sz w:val="20"/>
        </w:rPr>
        <w:drawing>
          <wp:inline distT="0" distB="0" distL="0" distR="0">
            <wp:extent cx="4982925" cy="897636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82925" cy="8976360"/>
                    </a:xfrm>
                    <a:prstGeom prst="rect">
                      <a:avLst/>
                    </a:prstGeom>
                  </pic:spPr>
                </pic:pic>
              </a:graphicData>
            </a:graphic>
          </wp:inline>
        </w:drawing>
      </w:r>
      <w:r>
        <w:rPr>
          <w:rFonts w:ascii="Times New Roman"/>
          <w:sz w:val="20"/>
        </w:rPr>
      </w:r>
    </w:p>
    <w:p>
      <w:pPr>
        <w:spacing w:after="0"/>
        <w:rPr>
          <w:rFonts w:ascii="Times New Roman"/>
          <w:sz w:val="20"/>
        </w:rPr>
        <w:sectPr>
          <w:type w:val="continuous"/>
          <w:pgSz w:w="12250" w:h="16500"/>
          <w:pgMar w:top="1020" w:bottom="280" w:left="1720" w:right="1720"/>
        </w:sectPr>
      </w:pPr>
    </w:p>
    <w:p>
      <w:pPr>
        <w:pStyle w:val="BodyText"/>
        <w:spacing w:before="4"/>
        <w:rPr>
          <w:rFonts w:ascii="Times New Roman"/>
          <w:sz w:val="17"/>
        </w:rPr>
      </w:pPr>
    </w:p>
    <w:p>
      <w:pPr>
        <w:spacing w:after="0"/>
        <w:rPr>
          <w:rFonts w:ascii="Times New Roman"/>
          <w:sz w:val="17"/>
        </w:rPr>
        <w:sectPr>
          <w:pgSz w:w="11910" w:h="16840"/>
          <w:pgMar w:top="1580" w:bottom="280" w:left="480" w:right="480"/>
        </w:sectPr>
      </w:pPr>
    </w:p>
    <w:p>
      <w:pPr>
        <w:pStyle w:val="BodyText"/>
        <w:spacing w:line="20" w:lineRule="exact"/>
        <w:ind w:left="1291"/>
        <w:rPr>
          <w:rFonts w:ascii="Times New Roman"/>
          <w:sz w:val="2"/>
        </w:rPr>
      </w:pPr>
      <w:r>
        <w:rPr>
          <w:rFonts w:ascii="Times New Roman"/>
          <w:sz w:val="2"/>
        </w:rPr>
        <w:pict>
          <v:group style="width:418.3pt;height:.75pt;mso-position-horizontal-relative:char;mso-position-vertical-relative:line" id="docshapegroup1" coordorigin="0,0" coordsize="8366,15">
            <v:rect style="position:absolute;left:0;top:0;width:8366;height:15" id="docshape2" filled="true" fillcolor="#808080" stroked="false">
              <v:fill type="solid"/>
            </v:rect>
          </v:group>
        </w:pict>
      </w:r>
      <w:r>
        <w:rPr>
          <w:rFonts w:ascii="Times New Roman"/>
          <w:sz w:val="2"/>
        </w:rPr>
      </w:r>
    </w:p>
    <w:p>
      <w:pPr>
        <w:pStyle w:val="BodyText"/>
        <w:spacing w:before="2"/>
        <w:rPr>
          <w:rFonts w:ascii="Times New Roman"/>
          <w:sz w:val="13"/>
        </w:rPr>
      </w:pPr>
    </w:p>
    <w:p>
      <w:pPr>
        <w:pStyle w:val="Heading1"/>
      </w:pPr>
      <w:bookmarkStart w:name="_bookmark0" w:id="1"/>
      <w:bookmarkEnd w:id="1"/>
      <w:r>
        <w:rPr>
          <w:b w:val="0"/>
        </w:rPr>
      </w:r>
      <w:r>
        <w:rPr>
          <w:spacing w:val="29"/>
          <w:w w:val="145"/>
        </w:rPr>
        <w:t>版权声明</w:t>
      </w:r>
    </w:p>
    <w:p>
      <w:pPr>
        <w:pStyle w:val="BodyText"/>
        <w:spacing w:before="4"/>
        <w:rPr>
          <w:rFonts w:ascii="楷体"/>
          <w:b/>
          <w:sz w:val="21"/>
        </w:rPr>
      </w:pPr>
      <w:r>
        <w:rPr/>
        <w:pict>
          <v:rect style="position:absolute;margin-left:88.584pt;margin-top:14.893135pt;width:418.27pt;height:.72pt;mso-position-horizontal-relative:page;mso-position-vertical-relative:paragraph;z-index:-15728128;mso-wrap-distance-left:0;mso-wrap-distance-right:0" id="docshape3" filled="true" fillcolor="#808080" stroked="false">
            <v:fill type="solid"/>
            <w10:wrap type="topAndBottom"/>
          </v:rect>
        </w:pict>
      </w:r>
    </w:p>
    <w:p>
      <w:pPr>
        <w:pStyle w:val="BodyText"/>
        <w:rPr>
          <w:rFonts w:ascii="楷体"/>
          <w:b/>
          <w:sz w:val="20"/>
        </w:rPr>
      </w:pPr>
    </w:p>
    <w:p>
      <w:pPr>
        <w:pStyle w:val="BodyText"/>
        <w:rPr>
          <w:rFonts w:ascii="楷体"/>
          <w:b/>
          <w:sz w:val="20"/>
        </w:rPr>
      </w:pPr>
    </w:p>
    <w:p>
      <w:pPr>
        <w:pStyle w:val="BodyText"/>
        <w:spacing w:before="2"/>
        <w:rPr>
          <w:rFonts w:ascii="楷体"/>
          <w:b/>
          <w:sz w:val="19"/>
        </w:rPr>
      </w:pPr>
    </w:p>
    <w:p>
      <w:pPr>
        <w:pStyle w:val="Heading2"/>
        <w:spacing w:line="364" w:lineRule="auto" w:before="55"/>
        <w:ind w:left="1320" w:right="1155" w:firstLine="643"/>
        <w:rPr>
          <w:rFonts w:ascii="仿宋" w:hAnsi="仿宋" w:eastAsia="仿宋" w:hint="eastAsia"/>
        </w:rPr>
      </w:pPr>
      <w:r>
        <w:rPr>
          <w:rFonts w:ascii="仿宋" w:hAnsi="仿宋" w:eastAsia="仿宋" w:hint="eastAsia"/>
          <w:spacing w:val="14"/>
          <w:w w:val="99"/>
        </w:rPr>
        <w:t>本白皮书版权属于中国信息通信研究院云计算与大数</w:t>
      </w:r>
      <w:r>
        <w:rPr>
          <w:rFonts w:ascii="仿宋" w:hAnsi="仿宋" w:eastAsia="仿宋" w:hint="eastAsia"/>
          <w:spacing w:val="-3"/>
          <w:w w:val="99"/>
        </w:rPr>
        <w:t>据研究所、</w:t>
      </w:r>
      <w:r>
        <w:rPr>
          <w:rFonts w:ascii="Times New Roman" w:hAnsi="Times New Roman" w:eastAsia="Times New Roman"/>
          <w:w w:val="99"/>
        </w:rPr>
        <w:t>CCSA</w:t>
      </w:r>
      <w:r>
        <w:rPr>
          <w:rFonts w:ascii="Times New Roman" w:hAnsi="Times New Roman" w:eastAsia="Times New Roman"/>
          <w:spacing w:val="-25"/>
        </w:rPr>
        <w:t> </w:t>
      </w:r>
      <w:r>
        <w:rPr>
          <w:rFonts w:ascii="Times New Roman" w:hAnsi="Times New Roman" w:eastAsia="Times New Roman"/>
          <w:w w:val="99"/>
        </w:rPr>
        <w:t>TC</w:t>
      </w:r>
      <w:r>
        <w:rPr>
          <w:rFonts w:ascii="Times New Roman" w:hAnsi="Times New Roman" w:eastAsia="Times New Roman"/>
          <w:spacing w:val="1"/>
          <w:w w:val="99"/>
        </w:rPr>
        <w:t>6</w:t>
      </w:r>
      <w:r>
        <w:rPr>
          <w:rFonts w:ascii="Times New Roman" w:hAnsi="Times New Roman" w:eastAsia="Times New Roman"/>
          <w:w w:val="99"/>
        </w:rPr>
        <w:t>01</w:t>
      </w:r>
      <w:r>
        <w:rPr>
          <w:rFonts w:ascii="Times New Roman" w:hAnsi="Times New Roman" w:eastAsia="Times New Roman"/>
        </w:rPr>
        <w:t> </w:t>
      </w:r>
      <w:r>
        <w:rPr>
          <w:rFonts w:ascii="仿宋" w:hAnsi="仿宋" w:eastAsia="仿宋" w:hint="eastAsia"/>
          <w:spacing w:val="-2"/>
          <w:w w:val="99"/>
        </w:rPr>
        <w:t>大数据技术标准推进委员会，并受</w:t>
      </w:r>
      <w:r>
        <w:rPr>
          <w:rFonts w:ascii="仿宋" w:hAnsi="仿宋" w:eastAsia="仿宋" w:hint="eastAsia"/>
          <w:spacing w:val="-6"/>
          <w:w w:val="99"/>
        </w:rPr>
        <w:t>法律保护。转载、摘编或利用其它方式使用本白皮书文字或</w:t>
      </w:r>
      <w:r>
        <w:rPr>
          <w:rFonts w:ascii="仿宋" w:hAnsi="仿宋" w:eastAsia="仿宋" w:hint="eastAsia"/>
          <w:spacing w:val="-19"/>
          <w:w w:val="99"/>
        </w:rPr>
        <w:t>者观点的，应注明</w:t>
      </w:r>
      <w:r>
        <w:rPr>
          <w:rFonts w:ascii="Times New Roman" w:hAnsi="Times New Roman" w:eastAsia="Times New Roman"/>
          <w:spacing w:val="1"/>
          <w:w w:val="99"/>
        </w:rPr>
        <w:t>“</w:t>
      </w:r>
      <w:r>
        <w:rPr>
          <w:rFonts w:ascii="仿宋" w:hAnsi="仿宋" w:eastAsia="仿宋" w:hint="eastAsia"/>
          <w:spacing w:val="2"/>
          <w:w w:val="99"/>
        </w:rPr>
        <w:t>来源</w:t>
      </w:r>
      <w:r>
        <w:rPr>
          <w:rFonts w:ascii="仿宋" w:hAnsi="仿宋" w:eastAsia="仿宋" w:hint="eastAsia"/>
          <w:spacing w:val="-37"/>
          <w:w w:val="99"/>
        </w:rPr>
        <w:t>：《数据资产管理实践白皮书</w:t>
      </w:r>
      <w:r>
        <w:rPr>
          <w:rFonts w:ascii="仿宋" w:hAnsi="仿宋" w:eastAsia="仿宋" w:hint="eastAsia"/>
          <w:spacing w:val="2"/>
          <w:w w:val="99"/>
        </w:rPr>
        <w:t>（</w:t>
      </w:r>
      <w:r>
        <w:rPr>
          <w:rFonts w:ascii="Times New Roman" w:hAnsi="Times New Roman" w:eastAsia="Times New Roman"/>
          <w:w w:val="99"/>
        </w:rPr>
        <w:t>3.0</w:t>
      </w:r>
      <w:r>
        <w:rPr>
          <w:rFonts w:ascii="仿宋" w:hAnsi="仿宋" w:eastAsia="仿宋" w:hint="eastAsia"/>
          <w:spacing w:val="-159"/>
          <w:w w:val="99"/>
        </w:rPr>
        <w:t>）</w:t>
      </w:r>
      <w:r>
        <w:rPr>
          <w:rFonts w:ascii="仿宋" w:hAnsi="仿宋" w:eastAsia="仿宋" w:hint="eastAsia"/>
          <w:spacing w:val="-149"/>
          <w:w w:val="99"/>
        </w:rPr>
        <w:t>》</w:t>
      </w:r>
      <w:r>
        <w:rPr>
          <w:rFonts w:ascii="Times New Roman" w:hAnsi="Times New Roman" w:eastAsia="Times New Roman"/>
          <w:spacing w:val="-2"/>
          <w:w w:val="99"/>
        </w:rPr>
        <w:t>”</w:t>
      </w:r>
      <w:r>
        <w:rPr>
          <w:rFonts w:ascii="仿宋" w:hAnsi="仿宋" w:eastAsia="仿宋" w:hint="eastAsia"/>
          <w:w w:val="99"/>
        </w:rPr>
        <w:t>。违反上述声明者，作者将追究其相关法律责任。</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93"/>
        <w:ind w:left="1" w:right="0" w:firstLine="0"/>
        <w:jc w:val="center"/>
        <w:rPr>
          <w:rFonts w:ascii="Times New Roman"/>
          <w:sz w:val="18"/>
        </w:rPr>
      </w:pPr>
      <w:r>
        <w:rPr>
          <w:rFonts w:ascii="Times New Roman"/>
          <w:w w:val="99"/>
          <w:sz w:val="18"/>
        </w:rPr>
        <w:t>I</w:t>
      </w:r>
    </w:p>
    <w:p>
      <w:pPr>
        <w:spacing w:after="0"/>
        <w:jc w:val="center"/>
        <w:rPr>
          <w:rFonts w:ascii="Times New Roman"/>
          <w:sz w:val="18"/>
        </w:rPr>
        <w:sectPr>
          <w:pgSz w:w="11910" w:h="16840"/>
          <w:pgMar w:top="1420" w:bottom="280" w:left="480" w:right="480"/>
        </w:sectPr>
      </w:pPr>
    </w:p>
    <w:p>
      <w:pPr>
        <w:pStyle w:val="BodyText"/>
        <w:spacing w:line="20" w:lineRule="exact"/>
        <w:ind w:left="1291"/>
        <w:rPr>
          <w:rFonts w:ascii="Times New Roman"/>
          <w:sz w:val="2"/>
        </w:rPr>
      </w:pPr>
      <w:r>
        <w:rPr>
          <w:rFonts w:ascii="Times New Roman"/>
          <w:sz w:val="2"/>
        </w:rPr>
        <w:pict>
          <v:group style="width:418.3pt;height:.75pt;mso-position-horizontal-relative:char;mso-position-vertical-relative:line" id="docshapegroup4" coordorigin="0,0" coordsize="8366,15">
            <v:rect style="position:absolute;left:0;top:0;width:8366;height:15" id="docshape5" filled="true" fillcolor="#000000" stroked="false">
              <v:fill type="solid"/>
            </v:rect>
          </v:group>
        </w:pict>
      </w:r>
      <w:r>
        <w:rPr>
          <w:rFonts w:ascii="Times New Roman"/>
          <w:sz w:val="2"/>
        </w:rPr>
      </w:r>
    </w:p>
    <w:p>
      <w:pPr>
        <w:pStyle w:val="BodyText"/>
        <w:rPr>
          <w:rFonts w:ascii="Times New Roman"/>
          <w:sz w:val="20"/>
        </w:rPr>
      </w:pPr>
    </w:p>
    <w:p>
      <w:pPr>
        <w:pStyle w:val="Heading2"/>
        <w:ind w:left="1329" w:right="1329"/>
        <w:jc w:val="center"/>
        <w:rPr>
          <w:rFonts w:ascii="仿宋" w:eastAsia="仿宋" w:hint="eastAsia"/>
        </w:rPr>
      </w:pPr>
      <w:r>
        <w:rPr>
          <w:rFonts w:ascii="仿宋" w:eastAsia="仿宋" w:hint="eastAsia"/>
          <w:w w:val="95"/>
        </w:rPr>
        <w:t>编</w:t>
      </w:r>
      <w:r>
        <w:rPr>
          <w:rFonts w:ascii="仿宋" w:eastAsia="仿宋" w:hint="eastAsia"/>
          <w:w w:val="95"/>
        </w:rPr>
        <w:t>委</w:t>
      </w:r>
      <w:r>
        <w:rPr>
          <w:rFonts w:ascii="仿宋" w:eastAsia="仿宋" w:hint="eastAsia"/>
          <w:spacing w:val="-10"/>
          <w:w w:val="95"/>
        </w:rPr>
        <w:t>会</w:t>
      </w:r>
    </w:p>
    <w:p>
      <w:pPr>
        <w:pStyle w:val="BodyText"/>
        <w:rPr>
          <w:b/>
          <w:sz w:val="32"/>
        </w:rPr>
      </w:pPr>
    </w:p>
    <w:p>
      <w:pPr>
        <w:spacing w:line="364" w:lineRule="auto" w:before="246"/>
        <w:ind w:left="1320" w:right="1200" w:firstLine="482"/>
        <w:jc w:val="left"/>
        <w:rPr>
          <w:sz w:val="24"/>
        </w:rPr>
      </w:pPr>
      <w:r>
        <w:rPr>
          <w:b/>
          <w:spacing w:val="-2"/>
          <w:sz w:val="24"/>
        </w:rPr>
        <w:t>编委会</w:t>
      </w:r>
      <w:r>
        <w:rPr>
          <w:b/>
          <w:spacing w:val="-2"/>
          <w:sz w:val="24"/>
        </w:rPr>
        <w:t>成</w:t>
      </w:r>
      <w:r>
        <w:rPr>
          <w:b/>
          <w:spacing w:val="-2"/>
          <w:sz w:val="24"/>
        </w:rPr>
        <w:t>员</w:t>
      </w:r>
      <w:r>
        <w:rPr>
          <w:b/>
          <w:spacing w:val="-2"/>
          <w:sz w:val="24"/>
        </w:rPr>
        <w:t>：</w:t>
      </w:r>
      <w:r>
        <w:rPr>
          <w:spacing w:val="-2"/>
          <w:sz w:val="24"/>
        </w:rPr>
        <w:t>魏凯、姜春宇、刘成成、闫树、丁华明、张娟、赵计博、车春</w:t>
      </w:r>
      <w:r>
        <w:rPr>
          <w:spacing w:val="-2"/>
          <w:sz w:val="24"/>
        </w:rPr>
        <w:t>雷、郭宝生、蓝曾威、马卓佳、李慧、贾丕星、符山、陈涛、周庭宇、孙龙君、</w:t>
      </w:r>
      <w:r>
        <w:rPr>
          <w:spacing w:val="-8"/>
          <w:sz w:val="24"/>
        </w:rPr>
        <w:t>农益辉、刘天斯、钱岭、齐骥、侯志强、石在辉、刘童桐、吴嘉、张振、张长君、</w:t>
      </w:r>
      <w:r>
        <w:rPr>
          <w:spacing w:val="-2"/>
          <w:sz w:val="24"/>
        </w:rPr>
        <w:t>林锋、周万、王鹏、刘庆会、胡浩、蔡春久、王琤、骆阳、魏民、李雨霏、于辰</w:t>
      </w:r>
      <w:r>
        <w:rPr>
          <w:spacing w:val="-2"/>
          <w:sz w:val="24"/>
        </w:rPr>
        <w:t>涛、王晟、陈志凌、刘俊良、周刚、王军、李今朝、李岳璘、王伟哲、曹冬平、</w:t>
      </w:r>
      <w:r>
        <w:rPr>
          <w:spacing w:val="-2"/>
          <w:sz w:val="24"/>
        </w:rPr>
        <w:t>蓝海、邹素雯、董喆、熊威、刘浩、施红明、白梅、寇新华、蒋勇、高伟</w:t>
      </w:r>
    </w:p>
    <w:p>
      <w:pPr>
        <w:spacing w:line="364" w:lineRule="auto" w:before="4"/>
        <w:ind w:left="1320" w:right="1316" w:firstLine="482"/>
        <w:jc w:val="left"/>
        <w:rPr>
          <w:sz w:val="24"/>
        </w:rPr>
      </w:pPr>
      <w:r>
        <w:rPr>
          <w:b/>
          <w:spacing w:val="-4"/>
          <w:sz w:val="24"/>
        </w:rPr>
        <w:t>参与单位：</w:t>
      </w:r>
      <w:r>
        <w:rPr>
          <w:spacing w:val="-4"/>
          <w:sz w:val="24"/>
        </w:rPr>
        <w:t>中国信息通信研究院、中国支付清算协会金融科技专委会、中国</w:t>
      </w:r>
      <w:r>
        <w:rPr>
          <w:spacing w:val="-5"/>
          <w:sz w:val="24"/>
        </w:rPr>
        <w:t>建设银行、中国电信股份有限公司云计算分公司、中软国际有限公司、腾讯科技</w:t>
      </w:r>
    </w:p>
    <w:p>
      <w:pPr>
        <w:spacing w:line="364" w:lineRule="auto" w:before="1"/>
        <w:ind w:left="1320" w:right="1318" w:firstLine="0"/>
        <w:jc w:val="both"/>
        <w:rPr>
          <w:sz w:val="24"/>
        </w:rPr>
      </w:pPr>
      <w:r>
        <w:rPr>
          <w:spacing w:val="-4"/>
          <w:sz w:val="24"/>
        </w:rPr>
        <w:t>（深圳）有限公司、中国移动苏州研发中心、中国移动通信研究院、中国电信股</w:t>
      </w:r>
      <w:r>
        <w:rPr>
          <w:spacing w:val="-4"/>
          <w:sz w:val="24"/>
        </w:rPr>
        <w:t>份有限公司、杭州数梦工场科技有限公司、普元信息技术股份有限公司、北京飞</w:t>
      </w:r>
      <w:r>
        <w:rPr>
          <w:spacing w:val="-4"/>
          <w:sz w:val="24"/>
        </w:rPr>
        <w:t>利信科技股份有限公司、联想（北京）有限公司、成都四方伟业软件股份有限公司、北京东方金信科技有限公司、烽火通信科技股份有限公司石化盈科信息技术</w:t>
      </w:r>
      <w:r>
        <w:rPr>
          <w:spacing w:val="-4"/>
          <w:sz w:val="24"/>
        </w:rPr>
        <w:t>有限责任公司、北京数语科技有限公司、国网征信有限公司、航天恒星科技有限</w:t>
      </w:r>
      <w:r>
        <w:rPr>
          <w:spacing w:val="-2"/>
          <w:sz w:val="24"/>
        </w:rPr>
        <w:t>公司、广州信安数据有限公司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3"/>
        <w:ind w:left="1329" w:right="1329" w:firstLine="0"/>
        <w:jc w:val="center"/>
        <w:rPr>
          <w:rFonts w:ascii="Times New Roman"/>
          <w:sz w:val="18"/>
        </w:rPr>
      </w:pPr>
      <w:r>
        <w:rPr>
          <w:rFonts w:ascii="Times New Roman"/>
          <w:spacing w:val="-5"/>
          <w:sz w:val="18"/>
        </w:rPr>
        <w:t>II</w:t>
      </w:r>
    </w:p>
    <w:p>
      <w:pPr>
        <w:spacing w:after="0"/>
        <w:jc w:val="center"/>
        <w:rPr>
          <w:rFonts w:ascii="Times New Roman"/>
          <w:sz w:val="18"/>
        </w:rPr>
        <w:sectPr>
          <w:pgSz w:w="11910" w:h="16840"/>
          <w:pgMar w:top="1080" w:bottom="280" w:left="480" w:right="480"/>
        </w:sectPr>
      </w:pPr>
    </w:p>
    <w:p>
      <w:pPr>
        <w:pStyle w:val="Heading2"/>
        <w:spacing w:before="27"/>
        <w:ind w:left="1329" w:right="1329"/>
        <w:jc w:val="center"/>
        <w:rPr>
          <w:rFonts w:ascii="黑体" w:eastAsia="黑体" w:hint="eastAsia"/>
        </w:rPr>
      </w:pPr>
      <w:bookmarkStart w:name="_bookmark1" w:id="2"/>
      <w:bookmarkEnd w:id="2"/>
      <w:r>
        <w:rPr>
          <w:b w:val="0"/>
        </w:rPr>
      </w:r>
      <w:r>
        <w:rPr>
          <w:rFonts w:ascii="黑体" w:eastAsia="黑体" w:hint="eastAsia"/>
        </w:rPr>
        <w:t>前</w:t>
      </w:r>
      <w:r>
        <w:rPr>
          <w:rFonts w:ascii="黑体" w:eastAsia="黑体" w:hint="eastAsia"/>
          <w:spacing w:val="78"/>
          <w:w w:val="150"/>
        </w:rPr>
        <w:t> </w:t>
      </w:r>
      <w:r>
        <w:rPr>
          <w:rFonts w:ascii="黑体" w:eastAsia="黑体" w:hint="eastAsia"/>
          <w:spacing w:val="-10"/>
        </w:rPr>
        <w:t>言</w:t>
      </w:r>
    </w:p>
    <w:p>
      <w:pPr>
        <w:pStyle w:val="BodyText"/>
        <w:spacing w:before="4"/>
        <w:rPr>
          <w:rFonts w:ascii="黑体"/>
          <w:b/>
          <w:sz w:val="47"/>
        </w:rPr>
      </w:pPr>
    </w:p>
    <w:p>
      <w:pPr>
        <w:pStyle w:val="BodyText"/>
        <w:spacing w:line="374" w:lineRule="auto"/>
        <w:ind w:left="1320" w:right="1314" w:firstLine="559"/>
        <w:jc w:val="both"/>
      </w:pPr>
      <w:r>
        <w:rPr>
          <w:spacing w:val="-2"/>
        </w:rPr>
        <w:t>党的十九大报告提出要</w:t>
      </w:r>
      <w:r>
        <w:rPr>
          <w:rFonts w:ascii="Times New Roman" w:hAnsi="Times New Roman" w:eastAsia="Times New Roman"/>
          <w:spacing w:val="-2"/>
        </w:rPr>
        <w:t>“</w:t>
      </w:r>
      <w:r>
        <w:rPr>
          <w:spacing w:val="-2"/>
        </w:rPr>
        <w:t>推动互联网、大数据、人工智能和实体</w:t>
      </w:r>
      <w:r>
        <w:rPr>
          <w:spacing w:val="-2"/>
        </w:rPr>
        <w:t>经济深度融合</w:t>
      </w:r>
      <w:r>
        <w:rPr>
          <w:rFonts w:ascii="Times New Roman" w:hAnsi="Times New Roman" w:eastAsia="Times New Roman"/>
          <w:spacing w:val="-2"/>
        </w:rPr>
        <w:t>”</w:t>
      </w:r>
      <w:r>
        <w:rPr>
          <w:spacing w:val="-2"/>
        </w:rPr>
        <w:t>，进一步突出了大数据作为国家基础性战略性资源的</w:t>
      </w:r>
      <w:r>
        <w:rPr>
          <w:spacing w:val="-12"/>
        </w:rPr>
        <w:t>重要地位，掌握丰富的高价值数据资源日益成为抢占未来发展主动权</w:t>
      </w:r>
      <w:r>
        <w:rPr>
          <w:spacing w:val="-2"/>
        </w:rPr>
        <w:t>的前提和保障。</w:t>
      </w:r>
    </w:p>
    <w:p>
      <w:pPr>
        <w:pStyle w:val="BodyText"/>
        <w:spacing w:line="374" w:lineRule="auto" w:before="3"/>
        <w:ind w:left="1320" w:right="1176" w:firstLine="559"/>
      </w:pPr>
      <w:r>
        <w:rPr>
          <w:spacing w:val="-2"/>
        </w:rPr>
        <w:t>数据是资产的概念已经成为行业共识。然而现实中，对数据资产</w:t>
      </w:r>
      <w:r>
        <w:rPr>
          <w:spacing w:val="-6"/>
        </w:rPr>
        <w:t>的管理和应用往往还处于摸索阶段，数据资产管理面临诸多挑战。首</w:t>
      </w:r>
      <w:r>
        <w:rPr>
          <w:spacing w:val="-19"/>
        </w:rPr>
        <w:t>先，大部分企业和政府部门的数据基础还很薄弱，存在数据标准混乱、</w:t>
      </w:r>
      <w:r>
        <w:rPr>
          <w:spacing w:val="-2"/>
        </w:rPr>
        <w:t>数据质量层次不齐、各条块之间数据孤岛化严重等现象，阻碍了数据的共享应用。其次，受限于数据规模和数据源种类的丰富程度，多数</w:t>
      </w:r>
      <w:r>
        <w:rPr>
          <w:spacing w:val="-2"/>
        </w:rPr>
        <w:t>企业的数据应用刚刚起步，主要集中在精准营销，舆情感知和风险控</w:t>
      </w:r>
      <w:r>
        <w:rPr>
          <w:spacing w:val="-2"/>
        </w:rPr>
        <w:t>制等有限场景，应用深度不够，应用空间亟待开拓。再其次，由于数</w:t>
      </w:r>
      <w:r>
        <w:rPr>
          <w:spacing w:val="-12"/>
        </w:rPr>
        <w:t>据的价值很难评估，企业难以对数据的成本以及其对业务的贡献进行</w:t>
      </w:r>
      <w:r>
        <w:rPr>
          <w:spacing w:val="-2"/>
        </w:rPr>
        <w:t>评估，从而难以像运营有形资产一样管理数据资产。</w:t>
      </w:r>
    </w:p>
    <w:p>
      <w:pPr>
        <w:pStyle w:val="BodyText"/>
        <w:spacing w:line="374" w:lineRule="auto" w:before="4"/>
        <w:ind w:left="1320" w:right="1176" w:firstLine="559"/>
      </w:pPr>
      <w:r>
        <w:rPr>
          <w:spacing w:val="11"/>
        </w:rPr>
        <w:t>国际上，</w:t>
      </w:r>
      <w:r>
        <w:rPr>
          <w:rFonts w:ascii="Times New Roman" w:eastAsia="Times New Roman"/>
        </w:rPr>
        <w:t>1990</w:t>
      </w:r>
      <w:r>
        <w:rPr>
          <w:rFonts w:ascii="Times New Roman" w:eastAsia="Times New Roman"/>
          <w:spacing w:val="84"/>
        </w:rPr>
        <w:t> </w:t>
      </w:r>
      <w:r>
        <w:rPr>
          <w:spacing w:val="14"/>
        </w:rPr>
        <w:t>年以来，以国际数据管理协会</w:t>
      </w:r>
      <w:r>
        <w:rPr/>
        <w:t>（</w:t>
      </w:r>
      <w:r>
        <w:rPr>
          <w:rFonts w:ascii="Times New Roman" w:eastAsia="Times New Roman"/>
        </w:rPr>
        <w:t>DAMA</w:t>
      </w:r>
      <w:r>
        <w:rPr/>
        <w:t>，</w:t>
      </w:r>
      <w:r>
        <w:rPr>
          <w:rFonts w:ascii="Times New Roman" w:eastAsia="Times New Roman"/>
        </w:rPr>
        <w:t>Data </w:t>
      </w:r>
      <w:r>
        <w:rPr>
          <w:rFonts w:ascii="Times New Roman" w:eastAsia="Times New Roman"/>
          <w:spacing w:val="-4"/>
        </w:rPr>
        <w:t>Management Association </w:t>
      </w:r>
      <w:r>
        <w:rPr>
          <w:rFonts w:ascii="Times New Roman" w:eastAsia="Times New Roman"/>
          <w:spacing w:val="3"/>
        </w:rPr>
        <w:t>I</w:t>
      </w:r>
      <w:r>
        <w:rPr>
          <w:rFonts w:ascii="Times New Roman" w:eastAsia="Times New Roman"/>
          <w:spacing w:val="4"/>
        </w:rPr>
        <w:t>n</w:t>
      </w:r>
      <w:r>
        <w:rPr>
          <w:rFonts w:ascii="Times New Roman" w:eastAsia="Times New Roman"/>
          <w:spacing w:val="6"/>
        </w:rPr>
        <w:t>te</w:t>
      </w:r>
      <w:r>
        <w:rPr>
          <w:rFonts w:ascii="Times New Roman" w:eastAsia="Times New Roman"/>
          <w:spacing w:val="3"/>
        </w:rPr>
        <w:t>r</w:t>
      </w:r>
      <w:r>
        <w:rPr>
          <w:rFonts w:ascii="Times New Roman" w:eastAsia="Times New Roman"/>
          <w:spacing w:val="6"/>
        </w:rPr>
        <w:t>n</w:t>
      </w:r>
      <w:r>
        <w:rPr>
          <w:rFonts w:ascii="Times New Roman" w:eastAsia="Times New Roman"/>
          <w:spacing w:val="3"/>
        </w:rPr>
        <w:t>a</w:t>
      </w:r>
      <w:r>
        <w:rPr>
          <w:rFonts w:ascii="Times New Roman" w:eastAsia="Times New Roman"/>
          <w:spacing w:val="6"/>
        </w:rPr>
        <w:t>t</w:t>
      </w:r>
      <w:r>
        <w:rPr>
          <w:rFonts w:ascii="Times New Roman" w:eastAsia="Times New Roman"/>
          <w:spacing w:val="4"/>
        </w:rPr>
        <w:t>i</w:t>
      </w:r>
      <w:r>
        <w:rPr>
          <w:rFonts w:ascii="Times New Roman" w:eastAsia="Times New Roman"/>
          <w:spacing w:val="6"/>
        </w:rPr>
        <w:t>o</w:t>
      </w:r>
      <w:r>
        <w:rPr>
          <w:rFonts w:ascii="Times New Roman" w:eastAsia="Times New Roman"/>
          <w:spacing w:val="4"/>
        </w:rPr>
        <w:t>n</w:t>
      </w:r>
      <w:r>
        <w:rPr>
          <w:rFonts w:ascii="Times New Roman" w:eastAsia="Times New Roman"/>
          <w:spacing w:val="6"/>
        </w:rPr>
        <w:t>a</w:t>
      </w:r>
      <w:r>
        <w:rPr>
          <w:rFonts w:ascii="Times New Roman" w:eastAsia="Times New Roman"/>
          <w:spacing w:val="9"/>
        </w:rPr>
        <w:t>l</w:t>
      </w:r>
      <w:r>
        <w:rPr>
          <w:spacing w:val="-134"/>
        </w:rPr>
        <w:t>）</w:t>
      </w:r>
      <w:r>
        <w:rPr>
          <w:spacing w:val="-23"/>
        </w:rPr>
        <w:t>、能力成熟度模型集成</w:t>
      </w:r>
      <w:r>
        <w:rPr>
          <w:spacing w:val="-4"/>
        </w:rPr>
        <w:t>（</w:t>
      </w:r>
      <w:r>
        <w:rPr>
          <w:rFonts w:ascii="Times New Roman" w:eastAsia="Times New Roman"/>
          <w:spacing w:val="-4"/>
        </w:rPr>
        <w:t>CMMI</w:t>
      </w:r>
      <w:r>
        <w:rPr>
          <w:spacing w:val="-4"/>
        </w:rPr>
        <w:t>， </w:t>
      </w:r>
      <w:r>
        <w:rPr>
          <w:rFonts w:ascii="Times New Roman" w:eastAsia="Times New Roman"/>
        </w:rPr>
        <w:t>Capability Maturity Model Integration</w:t>
      </w:r>
      <w:r>
        <w:rPr/>
        <w:t>）为代表的组织机构长期从事数</w:t>
      </w:r>
      <w:r>
        <w:rPr>
          <w:spacing w:val="-2"/>
        </w:rPr>
        <w:t>据管理的研究，形成了一定的理论成果。在这些理论的指导下，我国</w:t>
      </w:r>
      <w:r>
        <w:rPr>
          <w:spacing w:val="-2"/>
        </w:rPr>
        <w:t>金融、电信、能源、互联网等信息化较为先进的行业，已经积累了丰</w:t>
      </w:r>
      <w:r>
        <w:rPr>
          <w:spacing w:val="-11"/>
        </w:rPr>
        <w:t>富的数据资产管理经验。这些经验的总结对于补充完善数据管理理论</w:t>
      </w:r>
      <w:r>
        <w:rPr>
          <w:spacing w:val="-2"/>
        </w:rPr>
        <w:t>体系、推进数据资产管理在各个行业的普及和发展有着重要意义。</w:t>
      </w:r>
    </w:p>
    <w:p>
      <w:pPr>
        <w:pStyle w:val="BodyText"/>
        <w:spacing w:line="374" w:lineRule="auto"/>
        <w:ind w:left="1320" w:right="1312" w:firstLine="559"/>
        <w:jc w:val="both"/>
      </w:pPr>
      <w:r>
        <w:rPr>
          <w:spacing w:val="-4"/>
        </w:rPr>
        <w:t>为了促进数据资产管理的研究，我们组织编写了《数据资产管理</w:t>
      </w:r>
      <w:r>
        <w:rPr>
          <w:spacing w:val="-15"/>
        </w:rPr>
        <w:t>实践白皮书》。本白皮书分为四大部分：第一部分介绍了数据资产管</w:t>
      </w:r>
      <w:r>
        <w:rPr>
          <w:spacing w:val="-7"/>
        </w:rPr>
        <w:t>理的概述及变革中的数据资产管理呈现出来的特征趋势；第二部分从</w:t>
      </w:r>
    </w:p>
    <w:p>
      <w:pPr>
        <w:spacing w:line="184" w:lineRule="exact" w:before="0"/>
        <w:ind w:left="1329" w:right="1328" w:firstLine="0"/>
        <w:jc w:val="center"/>
        <w:rPr>
          <w:rFonts w:ascii="Times New Roman"/>
          <w:sz w:val="18"/>
        </w:rPr>
      </w:pPr>
      <w:r>
        <w:rPr>
          <w:rFonts w:ascii="Times New Roman"/>
          <w:spacing w:val="-5"/>
          <w:sz w:val="18"/>
        </w:rPr>
        <w:t>III</w:t>
      </w:r>
    </w:p>
    <w:p>
      <w:pPr>
        <w:spacing w:after="0" w:line="184" w:lineRule="exact"/>
        <w:jc w:val="center"/>
        <w:rPr>
          <w:rFonts w:ascii="Times New Roman"/>
          <w:sz w:val="18"/>
        </w:rPr>
        <w:sectPr>
          <w:pgSz w:w="11910" w:h="16840"/>
          <w:pgMar w:top="1500" w:bottom="280" w:left="480" w:right="480"/>
        </w:sectPr>
      </w:pPr>
    </w:p>
    <w:p>
      <w:pPr>
        <w:pStyle w:val="BodyText"/>
        <w:spacing w:line="20" w:lineRule="exact"/>
        <w:ind w:left="1291"/>
        <w:rPr>
          <w:rFonts w:ascii="Times New Roman"/>
          <w:sz w:val="2"/>
        </w:rPr>
      </w:pPr>
      <w:r>
        <w:rPr>
          <w:rFonts w:ascii="Times New Roman"/>
          <w:sz w:val="2"/>
        </w:rPr>
        <w:pict>
          <v:group style="width:418.3pt;height:.75pt;mso-position-horizontal-relative:char;mso-position-vertical-relative:line" id="docshapegroup6" coordorigin="0,0" coordsize="8366,15">
            <v:rect style="position:absolute;left:0;top:0;width:8366;height:15" id="docshape7" filled="true" fillcolor="#000000" stroked="false">
              <v:fill type="solid"/>
            </v:rect>
          </v:group>
        </w:pict>
      </w:r>
      <w:r>
        <w:rPr>
          <w:rFonts w:ascii="Times New Roman"/>
          <w:sz w:val="2"/>
        </w:rPr>
      </w:r>
    </w:p>
    <w:p>
      <w:pPr>
        <w:pStyle w:val="BodyText"/>
        <w:rPr>
          <w:rFonts w:ascii="Times New Roman"/>
          <w:sz w:val="20"/>
        </w:rPr>
      </w:pPr>
    </w:p>
    <w:p>
      <w:pPr>
        <w:pStyle w:val="BodyText"/>
        <w:spacing w:before="4"/>
        <w:rPr>
          <w:rFonts w:ascii="Times New Roman"/>
          <w:sz w:val="17"/>
        </w:rPr>
      </w:pPr>
    </w:p>
    <w:p>
      <w:pPr>
        <w:pStyle w:val="BodyText"/>
        <w:spacing w:line="374" w:lineRule="auto" w:before="61"/>
        <w:ind w:left="1320" w:right="1173"/>
      </w:pPr>
      <w:r>
        <w:rPr>
          <w:spacing w:val="-8"/>
          <w:w w:val="100"/>
        </w:rPr>
        <w:t>实践角度出发阐述了数据资产管理的主要内容；第三部分重点介绍了</w:t>
      </w:r>
      <w:r>
        <w:rPr>
          <w:spacing w:val="-11"/>
          <w:w w:val="100"/>
        </w:rPr>
        <w:t>数据资产管理的实施步骤、实践模式、工具平台和成功要素；最后结</w:t>
      </w:r>
      <w:r>
        <w:rPr>
          <w:spacing w:val="-12"/>
          <w:w w:val="100"/>
        </w:rPr>
        <w:t>合实践经验，介绍了电信、金融、政务、医疗和工业等相关领域的数</w:t>
      </w:r>
      <w:r>
        <w:rPr>
          <w:spacing w:val="-7"/>
          <w:w w:val="100"/>
        </w:rPr>
        <w:t>据资产管理案例。本白皮书在《数据资产管理实践白皮书</w:t>
      </w:r>
      <w:r>
        <w:rPr>
          <w:spacing w:val="-24"/>
        </w:rPr>
        <w:t> </w:t>
      </w:r>
      <w:r>
        <w:rPr>
          <w:rFonts w:ascii="Times New Roman" w:hAnsi="Times New Roman" w:eastAsia="Times New Roman"/>
          <w:w w:val="100"/>
        </w:rPr>
        <w:t>2.</w:t>
      </w:r>
      <w:r>
        <w:rPr>
          <w:rFonts w:ascii="Times New Roman" w:hAnsi="Times New Roman" w:eastAsia="Times New Roman"/>
          <w:spacing w:val="-2"/>
          <w:w w:val="100"/>
        </w:rPr>
        <w:t>0</w:t>
      </w:r>
      <w:r>
        <w:rPr>
          <w:w w:val="100"/>
        </w:rPr>
        <w:t>》的基</w:t>
      </w:r>
      <w:r>
        <w:rPr>
          <w:spacing w:val="-18"/>
          <w:w w:val="100"/>
        </w:rPr>
        <w:t>础上，结合原有的数据资产管理八大痛点内容，以全面盘点数据资产、</w:t>
      </w:r>
      <w:r>
        <w:rPr>
          <w:spacing w:val="-13"/>
          <w:w w:val="100"/>
        </w:rPr>
        <w:t>不断提升数据质量、实现数据互联互通、提高数据获取效率、保障数</w:t>
      </w:r>
      <w:r>
        <w:rPr>
          <w:spacing w:val="-1"/>
          <w:w w:val="100"/>
        </w:rPr>
        <w:t>据安全合规、数据价值持续释放等角度，通过权威数据和典型事件，</w:t>
      </w:r>
      <w:r>
        <w:rPr>
          <w:spacing w:val="2"/>
          <w:w w:val="100"/>
        </w:rPr>
        <w:t>生动剖析了数据资产管理的重点内容和目标。以</w:t>
      </w:r>
      <w:r>
        <w:rPr>
          <w:rFonts w:ascii="Times New Roman" w:hAnsi="Times New Roman" w:eastAsia="Times New Roman"/>
          <w:spacing w:val="-3"/>
          <w:w w:val="100"/>
        </w:rPr>
        <w:t>“</w:t>
      </w:r>
      <w:r>
        <w:rPr>
          <w:spacing w:val="3"/>
          <w:w w:val="100"/>
        </w:rPr>
        <w:t>管理职能</w:t>
      </w:r>
      <w:r>
        <w:rPr>
          <w:rFonts w:ascii="Times New Roman" w:hAnsi="Times New Roman" w:eastAsia="Times New Roman"/>
          <w:w w:val="100"/>
        </w:rPr>
        <w:t>”</w:t>
      </w:r>
      <w:r>
        <w:rPr>
          <w:spacing w:val="3"/>
          <w:w w:val="100"/>
        </w:rPr>
        <w:t>代替</w:t>
      </w:r>
      <w:r>
        <w:rPr>
          <w:rFonts w:ascii="Times New Roman" w:hAnsi="Times New Roman" w:eastAsia="Times New Roman"/>
          <w:spacing w:val="-3"/>
          <w:w w:val="100"/>
        </w:rPr>
        <w:t>“</w:t>
      </w:r>
      <w:r>
        <w:rPr>
          <w:w w:val="100"/>
        </w:rPr>
        <w:t>活</w:t>
      </w:r>
      <w:r>
        <w:rPr>
          <w:spacing w:val="2"/>
          <w:w w:val="100"/>
        </w:rPr>
        <w:t>动职能</w:t>
      </w:r>
      <w:r>
        <w:rPr>
          <w:rFonts w:ascii="Times New Roman" w:hAnsi="Times New Roman" w:eastAsia="Times New Roman"/>
          <w:w w:val="100"/>
        </w:rPr>
        <w:t>”</w:t>
      </w:r>
      <w:r>
        <w:rPr>
          <w:w w:val="100"/>
        </w:rPr>
        <w:t>的描述，在原有管理职能的介绍下，尝试说明数据资产管理</w:t>
      </w:r>
      <w:r>
        <w:rPr>
          <w:spacing w:val="-10"/>
          <w:w w:val="100"/>
        </w:rPr>
        <w:t>内容之间的关系，并在组织机构和制度体系的基础上，完善了保障措</w:t>
      </w:r>
      <w:r>
        <w:rPr>
          <w:spacing w:val="-11"/>
          <w:w w:val="100"/>
        </w:rPr>
        <w:t>施部分。此外，还在原有通用实施阶段步骤的基础上，增加了实践模</w:t>
      </w:r>
      <w:r>
        <w:rPr>
          <w:spacing w:val="-10"/>
          <w:w w:val="100"/>
        </w:rPr>
        <w:t>式的参考。最后，增加了</w:t>
      </w:r>
      <w:r>
        <w:rPr>
          <w:rFonts w:ascii="Times New Roman" w:hAnsi="Times New Roman" w:eastAsia="Times New Roman"/>
          <w:spacing w:val="-8"/>
          <w:w w:val="100"/>
        </w:rPr>
        <w:t>“</w:t>
      </w:r>
      <w:r>
        <w:rPr>
          <w:spacing w:val="-4"/>
          <w:w w:val="100"/>
        </w:rPr>
        <w:t>持续迭代完善，形成良性闭环</w:t>
      </w:r>
      <w:r>
        <w:rPr>
          <w:rFonts w:ascii="Times New Roman" w:hAnsi="Times New Roman" w:eastAsia="Times New Roman"/>
          <w:spacing w:val="-3"/>
          <w:w w:val="100"/>
        </w:rPr>
        <w:t>”</w:t>
      </w:r>
      <w:r>
        <w:rPr>
          <w:spacing w:val="-1"/>
          <w:w w:val="100"/>
        </w:rPr>
        <w:t>成功要素的观点。</w:t>
      </w:r>
    </w:p>
    <w:p>
      <w:pPr>
        <w:pStyle w:val="BodyText"/>
        <w:spacing w:line="374" w:lineRule="auto" w:before="5"/>
        <w:ind w:left="1320" w:right="1179" w:firstLine="559"/>
      </w:pPr>
      <w:r>
        <w:rPr>
          <w:spacing w:val="-6"/>
        </w:rPr>
        <w:t>本白皮书可以为政府和企业开展数据资产管理工作提供参考，也</w:t>
      </w:r>
      <w:r>
        <w:rPr>
          <w:spacing w:val="-2"/>
        </w:rPr>
        <w:t>可以作为相关产品和服务提供商的参考依据。由于时间仓促，水平所</w:t>
      </w:r>
      <w:r>
        <w:rPr>
          <w:spacing w:val="-2"/>
        </w:rPr>
        <w:t>限，我们的工作还有很多不足。下一步，我们还将广泛采纳各方面意</w:t>
      </w:r>
      <w:r>
        <w:rPr>
          <w:spacing w:val="-2"/>
        </w:rPr>
        <w:t>见建议，进一步深化相关研究，持续完善白皮书内容，在已有版本的</w:t>
      </w:r>
      <w:r>
        <w:rPr>
          <w:spacing w:val="-6"/>
        </w:rPr>
        <w:t>基础上，适时修订发布新版。我们诚邀各界专家学者参与我们的研究</w:t>
      </w:r>
      <w:r>
        <w:rPr>
          <w:spacing w:val="-19"/>
        </w:rPr>
        <w:t>工作，积极献言献策，共同完善国内数据资产管理理论和方法论体系，</w:t>
      </w:r>
      <w:r>
        <w:rPr>
          <w:spacing w:val="-2"/>
        </w:rPr>
        <w:t>为促进大数据与实体经济深度融合做出积极贡献。如您有意愿，请联系我们：</w:t>
      </w:r>
      <w:hyperlink r:id="rId6">
        <w:r>
          <w:rPr>
            <w:rFonts w:ascii="Times New Roman" w:eastAsia="Times New Roman"/>
            <w:spacing w:val="-2"/>
          </w:rPr>
          <w:t>liuchengcheng@caict.ac.cn</w:t>
        </w:r>
      </w:hyperlink>
      <w:r>
        <w:rPr>
          <w:spacing w:val="-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329" w:right="1327" w:firstLine="0"/>
        <w:jc w:val="center"/>
        <w:rPr>
          <w:rFonts w:ascii="Times New Roman"/>
          <w:sz w:val="18"/>
        </w:rPr>
      </w:pPr>
      <w:r>
        <w:rPr>
          <w:rFonts w:ascii="Times New Roman"/>
          <w:spacing w:val="-5"/>
          <w:sz w:val="18"/>
        </w:rPr>
        <w:t>IV</w:t>
      </w:r>
    </w:p>
    <w:p>
      <w:pPr>
        <w:spacing w:after="0"/>
        <w:jc w:val="center"/>
        <w:rPr>
          <w:rFonts w:ascii="Times New Roman"/>
          <w:sz w:val="18"/>
        </w:rPr>
        <w:sectPr>
          <w:pgSz w:w="11910" w:h="16840"/>
          <w:pgMar w:top="1080" w:bottom="280" w:left="480" w:right="480"/>
        </w:sectPr>
      </w:pPr>
    </w:p>
    <w:p>
      <w:pPr>
        <w:pStyle w:val="Heading2"/>
        <w:spacing w:before="27"/>
        <w:ind w:left="1329" w:right="1329"/>
        <w:jc w:val="center"/>
        <w:rPr>
          <w:rFonts w:ascii="黑体" w:eastAsia="黑体" w:hint="eastAsia"/>
        </w:rPr>
      </w:pPr>
      <w:r>
        <w:rPr>
          <w:rFonts w:ascii="黑体" w:eastAsia="黑体" w:hint="eastAsia"/>
        </w:rPr>
        <w:t>目</w:t>
      </w:r>
      <w:r>
        <w:rPr>
          <w:rFonts w:ascii="黑体" w:eastAsia="黑体" w:hint="eastAsia"/>
          <w:spacing w:val="78"/>
          <w:w w:val="150"/>
        </w:rPr>
        <w:t> </w:t>
      </w:r>
      <w:r>
        <w:rPr>
          <w:rFonts w:ascii="黑体" w:eastAsia="黑体" w:hint="eastAsia"/>
          <w:spacing w:val="-10"/>
        </w:rPr>
        <w:t>录</w:t>
      </w:r>
    </w:p>
    <w:p>
      <w:pPr>
        <w:spacing w:after="0"/>
        <w:jc w:val="center"/>
        <w:rPr>
          <w:rFonts w:ascii="黑体" w:eastAsia="黑体" w:hint="eastAsia"/>
        </w:rPr>
        <w:sectPr>
          <w:pgSz w:w="11910" w:h="16840"/>
          <w:pgMar w:top="1500" w:bottom="1194" w:left="480" w:right="480"/>
        </w:sectPr>
      </w:pPr>
    </w:p>
    <w:sdt>
      <w:sdtPr>
        <w:docPartObj>
          <w:docPartGallery w:val="Table of Contents"/>
          <w:docPartUnique/>
        </w:docPartObj>
      </w:sdtPr>
      <w:sdtEndPr/>
      <w:sdtContent>
        <w:p>
          <w:pPr>
            <w:pStyle w:val="TOC1"/>
            <w:tabs>
              <w:tab w:pos="8298" w:val="right" w:leader="dot"/>
            </w:tabs>
            <w:spacing w:before="132"/>
          </w:pPr>
          <w:hyperlink w:history="true" w:anchor="_bookmark0">
            <w:r>
              <w:rPr>
                <w:rFonts w:ascii="宋体" w:eastAsia="宋体"/>
                <w:spacing w:val="-2"/>
              </w:rPr>
              <w:t>版</w:t>
            </w:r>
            <w:r>
              <w:rPr>
                <w:rFonts w:ascii="宋体" w:eastAsia="宋体"/>
                <w:spacing w:val="-2"/>
              </w:rPr>
              <w:t>权</w:t>
            </w:r>
            <w:r>
              <w:rPr>
                <w:rFonts w:ascii="宋体" w:eastAsia="宋体"/>
                <w:spacing w:val="-2"/>
              </w:rPr>
              <w:t>声</w:t>
            </w:r>
            <w:r>
              <w:rPr>
                <w:rFonts w:ascii="宋体" w:eastAsia="宋体"/>
                <w:spacing w:val="-10"/>
              </w:rPr>
              <w:t>明</w:t>
            </w:r>
            <w:r>
              <w:rPr>
                <w:rFonts w:ascii="Times New Roman" w:eastAsia="Times New Roman"/>
              </w:rPr>
              <w:tab/>
            </w:r>
            <w:r>
              <w:rPr>
                <w:spacing w:val="-10"/>
              </w:rPr>
              <w:t>I</w:t>
            </w:r>
          </w:hyperlink>
        </w:p>
        <w:p>
          <w:pPr>
            <w:pStyle w:val="TOC1"/>
            <w:tabs>
              <w:tab w:pos="8298" w:val="right" w:leader="dot"/>
            </w:tabs>
            <w:ind w:right="5"/>
          </w:pPr>
          <w:hyperlink w:history="true" w:anchor="_bookmark1">
            <w:r>
              <w:rPr>
                <w:rFonts w:ascii="黑体" w:eastAsia="黑体"/>
              </w:rPr>
              <w:t>前</w:t>
            </w:r>
            <w:r>
              <w:rPr>
                <w:rFonts w:ascii="黑体" w:eastAsia="黑体"/>
                <w:spacing w:val="53"/>
                <w:w w:val="150"/>
              </w:rPr>
              <w:t> </w:t>
            </w:r>
            <w:r>
              <w:rPr>
                <w:rFonts w:ascii="黑体" w:eastAsia="黑体"/>
                <w:spacing w:val="-10"/>
              </w:rPr>
              <w:t>言</w:t>
            </w:r>
            <w:r>
              <w:rPr>
                <w:rFonts w:ascii="Times New Roman" w:eastAsia="Times New Roman"/>
              </w:rPr>
              <w:tab/>
            </w:r>
            <w:r>
              <w:rPr>
                <w:spacing w:val="-5"/>
              </w:rPr>
              <w:t>III</w:t>
            </w:r>
          </w:hyperlink>
        </w:p>
        <w:p>
          <w:pPr>
            <w:pStyle w:val="TOC3"/>
            <w:tabs>
              <w:tab w:pos="9619" w:val="right" w:leader="dot"/>
            </w:tabs>
            <w:ind w:left="1320" w:firstLine="0"/>
            <w:rPr>
              <w:rFonts w:ascii="Calibri" w:eastAsia="Calibri"/>
            </w:rPr>
          </w:pPr>
          <w:hyperlink w:history="true" w:anchor="_bookmark2">
            <w:r>
              <w:rPr>
                <w:rFonts w:ascii="黑体" w:eastAsia="黑体"/>
              </w:rPr>
              <w:t>图 表</w:t>
            </w:r>
            <w:r>
              <w:rPr>
                <w:rFonts w:ascii="黑体" w:eastAsia="黑体"/>
                <w:spacing w:val="-2"/>
              </w:rPr>
              <w:t> </w:t>
            </w:r>
            <w:r>
              <w:rPr>
                <w:rFonts w:ascii="黑体" w:eastAsia="黑体"/>
              </w:rPr>
              <w:t>目</w:t>
            </w:r>
            <w:r>
              <w:rPr>
                <w:rFonts w:ascii="黑体" w:eastAsia="黑体"/>
                <w:spacing w:val="-2"/>
              </w:rPr>
              <w:t> </w:t>
            </w:r>
            <w:r>
              <w:rPr>
                <w:rFonts w:ascii="黑体" w:eastAsia="黑体"/>
                <w:spacing w:val="-10"/>
              </w:rPr>
              <w:t>录</w:t>
            </w:r>
            <w:r>
              <w:rPr>
                <w:rFonts w:ascii="Times New Roman" w:eastAsia="Times New Roman"/>
              </w:rPr>
              <w:tab/>
            </w:r>
            <w:r>
              <w:rPr>
                <w:rFonts w:ascii="Calibri" w:eastAsia="Calibri"/>
                <w:spacing w:val="-5"/>
              </w:rPr>
              <w:t>VII</w:t>
            </w:r>
          </w:hyperlink>
        </w:p>
        <w:p>
          <w:pPr>
            <w:pStyle w:val="TOC3"/>
            <w:tabs>
              <w:tab w:pos="2160" w:val="left" w:leader="none"/>
              <w:tab w:pos="9620" w:val="right" w:leader="dot"/>
            </w:tabs>
            <w:ind w:left="1320" w:firstLine="0"/>
            <w:rPr>
              <w:rFonts w:ascii="Calibri" w:eastAsia="Calibri"/>
            </w:rPr>
          </w:pPr>
          <w:hyperlink w:history="true" w:anchor="_bookmark3">
            <w:r>
              <w:rPr>
                <w:rFonts w:ascii="黑体" w:eastAsia="黑体"/>
              </w:rPr>
              <w:t>一</w:t>
            </w:r>
            <w:r>
              <w:rPr>
                <w:rFonts w:ascii="黑体" w:eastAsia="黑体"/>
                <w:spacing w:val="-10"/>
              </w:rPr>
              <w:t>、</w:t>
            </w:r>
            <w:r>
              <w:rPr>
                <w:rFonts w:ascii="黑体" w:eastAsia="黑体"/>
              </w:rPr>
              <w:tab/>
            </w:r>
            <w:r>
              <w:rPr>
                <w:rFonts w:ascii="黑体" w:eastAsia="黑体"/>
                <w:spacing w:val="-2"/>
              </w:rPr>
              <w:t>数</w:t>
            </w:r>
            <w:r>
              <w:rPr>
                <w:rFonts w:ascii="黑体" w:eastAsia="黑体"/>
                <w:spacing w:val="-2"/>
              </w:rPr>
              <w:t>据</w:t>
            </w:r>
            <w:r>
              <w:rPr>
                <w:rFonts w:ascii="黑体" w:eastAsia="黑体"/>
                <w:spacing w:val="-2"/>
              </w:rPr>
              <w:t>资产管理概</w:t>
            </w:r>
            <w:r>
              <w:rPr>
                <w:rFonts w:ascii="黑体" w:eastAsia="黑体"/>
                <w:spacing w:val="-10"/>
              </w:rPr>
              <w:t>述</w:t>
            </w:r>
            <w:r>
              <w:rPr>
                <w:rFonts w:ascii="Times New Roman" w:eastAsia="Times New Roman"/>
              </w:rPr>
              <w:tab/>
            </w:r>
            <w:r>
              <w:rPr>
                <w:rFonts w:ascii="Calibri" w:eastAsia="Calibri"/>
                <w:spacing w:val="-10"/>
              </w:rPr>
              <w:t>1</w:t>
            </w:r>
          </w:hyperlink>
        </w:p>
        <w:p>
          <w:pPr>
            <w:pStyle w:val="TOC3"/>
            <w:tabs>
              <w:tab w:pos="2160" w:val="left" w:leader="none"/>
              <w:tab w:pos="9620" w:val="right" w:leader="dot"/>
            </w:tabs>
            <w:ind w:left="1320" w:firstLine="0"/>
            <w:rPr>
              <w:rFonts w:ascii="Calibri" w:eastAsia="Calibri"/>
            </w:rPr>
          </w:pPr>
          <w:hyperlink w:history="true" w:anchor="_bookmark4">
            <w:r>
              <w:rPr>
                <w:rFonts w:ascii="Times New Roman" w:eastAsia="Times New Roman"/>
                <w:spacing w:val="-2"/>
              </w:rPr>
              <w:t>(</w:t>
            </w:r>
            <w:r>
              <w:rPr>
                <w:spacing w:val="-2"/>
              </w:rPr>
              <w:t>一</w:t>
            </w:r>
            <w:r>
              <w:rPr>
                <w:rFonts w:ascii="Times New Roman" w:eastAsia="Times New Roman"/>
                <w:spacing w:val="-10"/>
              </w:rPr>
              <w:t>)</w:t>
            </w:r>
            <w:r>
              <w:rPr>
                <w:rFonts w:ascii="Times New Roman" w:eastAsia="Times New Roman"/>
              </w:rPr>
              <w:tab/>
            </w:r>
            <w:r>
              <w:rPr>
                <w:spacing w:val="-2"/>
              </w:rPr>
              <w:t>数</w:t>
            </w:r>
            <w:r>
              <w:rPr>
                <w:spacing w:val="-2"/>
              </w:rPr>
              <w:t>据</w:t>
            </w:r>
            <w:r>
              <w:rPr>
                <w:spacing w:val="-2"/>
              </w:rPr>
              <w:t>资产管理的定义与内</w:t>
            </w:r>
            <w:r>
              <w:rPr>
                <w:spacing w:val="-10"/>
              </w:rPr>
              <w:t>涵</w:t>
            </w:r>
            <w:r>
              <w:rPr>
                <w:rFonts w:ascii="Times New Roman" w:eastAsia="Times New Roman"/>
              </w:rPr>
              <w:tab/>
            </w:r>
            <w:r>
              <w:rPr>
                <w:rFonts w:ascii="Calibri" w:eastAsia="Calibri"/>
                <w:spacing w:val="-10"/>
              </w:rPr>
              <w:t>1</w:t>
            </w:r>
          </w:hyperlink>
        </w:p>
        <w:p>
          <w:pPr>
            <w:pStyle w:val="TOC3"/>
            <w:numPr>
              <w:ilvl w:val="0"/>
              <w:numId w:val="1"/>
            </w:numPr>
            <w:tabs>
              <w:tab w:pos="1740" w:val="left" w:leader="none"/>
              <w:tab w:pos="1741" w:val="left" w:leader="none"/>
              <w:tab w:pos="9620" w:val="right" w:leader="dot"/>
            </w:tabs>
            <w:spacing w:line="240" w:lineRule="auto" w:before="43" w:after="0"/>
            <w:ind w:left="1740" w:right="0" w:hanging="421"/>
            <w:jc w:val="left"/>
            <w:rPr>
              <w:rFonts w:ascii="Calibri" w:eastAsia="Calibri"/>
            </w:rPr>
          </w:pPr>
          <w:hyperlink w:history="true" w:anchor="_bookmark5">
            <w:r>
              <w:rPr>
                <w:spacing w:val="-2"/>
              </w:rPr>
              <w:t>数</w:t>
            </w:r>
            <w:r>
              <w:rPr>
                <w:spacing w:val="-2"/>
              </w:rPr>
              <w:t>据</w:t>
            </w:r>
            <w:r>
              <w:rPr>
                <w:spacing w:val="-2"/>
              </w:rPr>
              <w:t>资产管理的</w:t>
            </w:r>
            <w:r>
              <w:rPr>
                <w:spacing w:val="-2"/>
              </w:rPr>
              <w:t>概</w:t>
            </w:r>
            <w:r>
              <w:rPr>
                <w:spacing w:val="-10"/>
              </w:rPr>
              <w:t>念</w:t>
            </w:r>
            <w:r>
              <w:rPr>
                <w:rFonts w:ascii="Times New Roman" w:eastAsia="Times New Roman"/>
              </w:rPr>
              <w:tab/>
            </w:r>
            <w:r>
              <w:rPr>
                <w:rFonts w:ascii="Calibri" w:eastAsia="Calibri"/>
                <w:spacing w:val="-10"/>
              </w:rPr>
              <w:t>1</w:t>
            </w:r>
          </w:hyperlink>
        </w:p>
        <w:p>
          <w:pPr>
            <w:pStyle w:val="TOC3"/>
            <w:numPr>
              <w:ilvl w:val="0"/>
              <w:numId w:val="1"/>
            </w:numPr>
            <w:tabs>
              <w:tab w:pos="1740" w:val="left" w:leader="none"/>
              <w:tab w:pos="1741" w:val="left" w:leader="none"/>
              <w:tab w:pos="9620" w:val="right" w:leader="dot"/>
            </w:tabs>
            <w:spacing w:line="240" w:lineRule="auto" w:before="43" w:after="0"/>
            <w:ind w:left="1740" w:right="0" w:hanging="421"/>
            <w:jc w:val="left"/>
            <w:rPr>
              <w:rFonts w:ascii="Calibri" w:eastAsia="Calibri"/>
            </w:rPr>
          </w:pPr>
          <w:hyperlink w:history="true" w:anchor="_bookmark6">
            <w:r>
              <w:rPr>
                <w:spacing w:val="-2"/>
              </w:rPr>
              <w:t>数</w:t>
            </w:r>
            <w:r>
              <w:rPr>
                <w:spacing w:val="-2"/>
              </w:rPr>
              <w:t>据</w:t>
            </w:r>
            <w:r>
              <w:rPr>
                <w:spacing w:val="-2"/>
              </w:rPr>
              <w:t>资产管理的</w:t>
            </w:r>
            <w:r>
              <w:rPr>
                <w:spacing w:val="-2"/>
              </w:rPr>
              <w:t>内</w:t>
            </w:r>
            <w:r>
              <w:rPr>
                <w:spacing w:val="-10"/>
              </w:rPr>
              <w:t>涵</w:t>
            </w:r>
            <w:r>
              <w:rPr>
                <w:rFonts w:ascii="Times New Roman" w:eastAsia="Times New Roman"/>
              </w:rPr>
              <w:tab/>
            </w:r>
            <w:r>
              <w:rPr>
                <w:rFonts w:ascii="Calibri" w:eastAsia="Calibri"/>
                <w:spacing w:val="-10"/>
              </w:rPr>
              <w:t>2</w:t>
            </w:r>
          </w:hyperlink>
        </w:p>
        <w:p>
          <w:pPr>
            <w:pStyle w:val="TOC3"/>
            <w:numPr>
              <w:ilvl w:val="0"/>
              <w:numId w:val="1"/>
            </w:numPr>
            <w:tabs>
              <w:tab w:pos="1740" w:val="left" w:leader="none"/>
              <w:tab w:pos="1741" w:val="left" w:leader="none"/>
              <w:tab w:pos="9620" w:val="right" w:leader="dot"/>
            </w:tabs>
            <w:spacing w:line="240" w:lineRule="auto" w:before="43" w:after="0"/>
            <w:ind w:left="1740" w:right="0" w:hanging="421"/>
            <w:jc w:val="left"/>
            <w:rPr>
              <w:rFonts w:ascii="Calibri" w:eastAsia="Calibri"/>
            </w:rPr>
          </w:pPr>
          <w:hyperlink w:history="true" w:anchor="_bookmark8">
            <w:r>
              <w:rPr>
                <w:spacing w:val="-2"/>
              </w:rPr>
              <w:t>数</w:t>
            </w:r>
            <w:r>
              <w:rPr>
                <w:spacing w:val="-2"/>
              </w:rPr>
              <w:t>据</w:t>
            </w:r>
            <w:r>
              <w:rPr>
                <w:spacing w:val="-2"/>
              </w:rPr>
              <w:t>资产管理的</w:t>
            </w:r>
            <w:r>
              <w:rPr>
                <w:spacing w:val="-2"/>
              </w:rPr>
              <w:t>演</w:t>
            </w:r>
            <w:r>
              <w:rPr>
                <w:spacing w:val="-10"/>
              </w:rPr>
              <w:t>变</w:t>
            </w:r>
            <w:r>
              <w:rPr>
                <w:rFonts w:ascii="Times New Roman" w:eastAsia="Times New Roman"/>
              </w:rPr>
              <w:tab/>
            </w:r>
            <w:r>
              <w:rPr>
                <w:rFonts w:ascii="Calibri" w:eastAsia="Calibri"/>
                <w:spacing w:val="-10"/>
              </w:rPr>
              <w:t>3</w:t>
            </w:r>
          </w:hyperlink>
        </w:p>
        <w:p>
          <w:pPr>
            <w:pStyle w:val="TOC3"/>
            <w:tabs>
              <w:tab w:pos="2160" w:val="left" w:leader="none"/>
              <w:tab w:pos="9620" w:val="right" w:leader="dot"/>
            </w:tabs>
            <w:ind w:left="1320" w:firstLine="0"/>
            <w:rPr>
              <w:rFonts w:ascii="Calibri" w:eastAsia="Calibri"/>
            </w:rPr>
          </w:pPr>
          <w:hyperlink w:history="true" w:anchor="_bookmark9">
            <w:r>
              <w:rPr>
                <w:rFonts w:ascii="Times New Roman" w:eastAsia="Times New Roman"/>
                <w:spacing w:val="-2"/>
              </w:rPr>
              <w:t>(</w:t>
            </w:r>
            <w:r>
              <w:rPr>
                <w:spacing w:val="-2"/>
              </w:rPr>
              <w:t>二</w:t>
            </w:r>
            <w:r>
              <w:rPr>
                <w:rFonts w:ascii="Times New Roman" w:eastAsia="Times New Roman"/>
                <w:spacing w:val="-10"/>
              </w:rPr>
              <w:t>)</w:t>
            </w:r>
            <w:r>
              <w:rPr>
                <w:rFonts w:ascii="Times New Roman" w:eastAsia="Times New Roman"/>
              </w:rPr>
              <w:tab/>
            </w:r>
            <w:r>
              <w:rPr>
                <w:spacing w:val="-2"/>
              </w:rPr>
              <w:t>数</w:t>
            </w:r>
            <w:r>
              <w:rPr>
                <w:spacing w:val="-2"/>
              </w:rPr>
              <w:t>据</w:t>
            </w:r>
            <w:r>
              <w:rPr>
                <w:spacing w:val="-2"/>
              </w:rPr>
              <w:t>资产管理是大数据时</w:t>
            </w:r>
            <w:r>
              <w:rPr>
                <w:spacing w:val="-2"/>
              </w:rPr>
              <w:t>代</w:t>
            </w:r>
            <w:r>
              <w:rPr>
                <w:spacing w:val="-2"/>
              </w:rPr>
              <w:t>的</w:t>
            </w:r>
            <w:r>
              <w:rPr>
                <w:spacing w:val="-2"/>
              </w:rPr>
              <w:t>必</w:t>
            </w:r>
            <w:r>
              <w:rPr>
                <w:spacing w:val="-2"/>
              </w:rPr>
              <w:t>修</w:t>
            </w:r>
            <w:r>
              <w:rPr>
                <w:spacing w:val="-10"/>
              </w:rPr>
              <w:t>课</w:t>
            </w:r>
            <w:r>
              <w:rPr>
                <w:rFonts w:ascii="Times New Roman" w:eastAsia="Times New Roman"/>
              </w:rPr>
              <w:tab/>
            </w:r>
            <w:r>
              <w:rPr>
                <w:rFonts w:ascii="Calibri" w:eastAsia="Calibri"/>
                <w:spacing w:val="-10"/>
              </w:rPr>
              <w:t>4</w:t>
            </w:r>
          </w:hyperlink>
        </w:p>
        <w:p>
          <w:pPr>
            <w:pStyle w:val="TOC3"/>
            <w:tabs>
              <w:tab w:pos="2160" w:val="left" w:leader="none"/>
              <w:tab w:pos="9620" w:val="right" w:leader="dot"/>
            </w:tabs>
            <w:ind w:left="1320" w:firstLine="0"/>
            <w:rPr>
              <w:rFonts w:ascii="Calibri" w:eastAsia="Calibri"/>
            </w:rPr>
          </w:pPr>
          <w:hyperlink w:history="true" w:anchor="_bookmark10">
            <w:r>
              <w:rPr>
                <w:rFonts w:ascii="Times New Roman" w:eastAsia="Times New Roman"/>
                <w:spacing w:val="-2"/>
              </w:rPr>
              <w:t>(</w:t>
            </w:r>
            <w:r>
              <w:rPr>
                <w:spacing w:val="-2"/>
              </w:rPr>
              <w:t>三</w:t>
            </w:r>
            <w:r>
              <w:rPr>
                <w:rFonts w:ascii="Times New Roman" w:eastAsia="Times New Roman"/>
                <w:spacing w:val="-10"/>
              </w:rPr>
              <w:t>)</w:t>
            </w:r>
            <w:r>
              <w:rPr>
                <w:rFonts w:ascii="Times New Roman" w:eastAsia="Times New Roman"/>
              </w:rPr>
              <w:tab/>
            </w:r>
            <w:r>
              <w:rPr>
                <w:spacing w:val="-2"/>
              </w:rPr>
              <w:t>数</w:t>
            </w:r>
            <w:r>
              <w:rPr>
                <w:spacing w:val="-2"/>
              </w:rPr>
              <w:t>据</w:t>
            </w:r>
            <w:r>
              <w:rPr>
                <w:spacing w:val="-2"/>
              </w:rPr>
              <w:t>资产管理是各方关注</w:t>
            </w:r>
            <w:r>
              <w:rPr>
                <w:spacing w:val="-2"/>
              </w:rPr>
              <w:t>的</w:t>
            </w:r>
            <w:r>
              <w:rPr>
                <w:spacing w:val="-2"/>
              </w:rPr>
              <w:t>重</w:t>
            </w:r>
            <w:r>
              <w:rPr>
                <w:spacing w:val="-2"/>
              </w:rPr>
              <w:t>要</w:t>
            </w:r>
            <w:r>
              <w:rPr>
                <w:spacing w:val="-2"/>
              </w:rPr>
              <w:t>议</w:t>
            </w:r>
            <w:r>
              <w:rPr>
                <w:spacing w:val="-10"/>
              </w:rPr>
              <w:t>题</w:t>
            </w:r>
            <w:r>
              <w:rPr>
                <w:rFonts w:ascii="Times New Roman" w:eastAsia="Times New Roman"/>
              </w:rPr>
              <w:tab/>
            </w:r>
            <w:r>
              <w:rPr>
                <w:rFonts w:ascii="Calibri" w:eastAsia="Calibri"/>
                <w:spacing w:val="-10"/>
              </w:rPr>
              <w:t>7</w:t>
            </w:r>
          </w:hyperlink>
        </w:p>
        <w:p>
          <w:pPr>
            <w:pStyle w:val="TOC3"/>
            <w:tabs>
              <w:tab w:pos="2160" w:val="left" w:leader="none"/>
              <w:tab w:pos="9620" w:val="right" w:leader="dot"/>
            </w:tabs>
            <w:ind w:left="1320" w:firstLine="0"/>
            <w:rPr>
              <w:rFonts w:ascii="Calibri" w:eastAsia="Calibri"/>
            </w:rPr>
          </w:pPr>
          <w:hyperlink w:history="true" w:anchor="_bookmark11">
            <w:r>
              <w:rPr>
                <w:rFonts w:ascii="Times New Roman" w:eastAsia="Times New Roman"/>
                <w:spacing w:val="-2"/>
              </w:rPr>
              <w:t>(</w:t>
            </w:r>
            <w:r>
              <w:rPr>
                <w:spacing w:val="-2"/>
              </w:rPr>
              <w:t>四</w:t>
            </w:r>
            <w:r>
              <w:rPr>
                <w:rFonts w:ascii="Times New Roman" w:eastAsia="Times New Roman"/>
                <w:spacing w:val="-10"/>
              </w:rPr>
              <w:t>)</w:t>
            </w:r>
            <w:r>
              <w:rPr>
                <w:rFonts w:ascii="Times New Roman" w:eastAsia="Times New Roman"/>
              </w:rPr>
              <w:tab/>
            </w:r>
            <w:r>
              <w:rPr>
                <w:spacing w:val="-2"/>
              </w:rPr>
              <w:t>变</w:t>
            </w:r>
            <w:r>
              <w:rPr>
                <w:spacing w:val="-2"/>
              </w:rPr>
              <w:t>革</w:t>
            </w:r>
            <w:r>
              <w:rPr>
                <w:spacing w:val="-2"/>
              </w:rPr>
              <w:t>中的数据资产管</w:t>
            </w:r>
            <w:r>
              <w:rPr>
                <w:spacing w:val="-10"/>
              </w:rPr>
              <w:t>理</w:t>
            </w:r>
            <w:r>
              <w:rPr>
                <w:rFonts w:ascii="Times New Roman" w:eastAsia="Times New Roman"/>
              </w:rPr>
              <w:tab/>
            </w:r>
            <w:r>
              <w:rPr>
                <w:rFonts w:ascii="Calibri" w:eastAsia="Calibri"/>
                <w:spacing w:val="-10"/>
              </w:rPr>
              <w:t>9</w:t>
            </w:r>
          </w:hyperlink>
        </w:p>
        <w:p>
          <w:pPr>
            <w:pStyle w:val="TOC3"/>
            <w:numPr>
              <w:ilvl w:val="0"/>
              <w:numId w:val="2"/>
            </w:numPr>
            <w:tabs>
              <w:tab w:pos="1740" w:val="left" w:leader="none"/>
              <w:tab w:pos="1741" w:val="left" w:leader="none"/>
              <w:tab w:pos="9620" w:val="right" w:leader="dot"/>
            </w:tabs>
            <w:spacing w:line="240" w:lineRule="auto" w:before="43" w:after="0"/>
            <w:ind w:left="1740" w:right="0" w:hanging="421"/>
            <w:jc w:val="left"/>
            <w:rPr>
              <w:rFonts w:ascii="Calibri" w:eastAsia="Calibri"/>
            </w:rPr>
          </w:pPr>
          <w:hyperlink w:history="true" w:anchor="_bookmark13">
            <w:r>
              <w:rPr>
                <w:spacing w:val="-2"/>
              </w:rPr>
              <w:t>数</w:t>
            </w:r>
            <w:r>
              <w:rPr>
                <w:spacing w:val="-2"/>
              </w:rPr>
              <w:t>据</w:t>
            </w:r>
            <w:r>
              <w:rPr>
                <w:spacing w:val="-2"/>
              </w:rPr>
              <w:t>对象纷繁复</w:t>
            </w:r>
            <w:r>
              <w:rPr>
                <w:spacing w:val="-10"/>
              </w:rPr>
              <w:t>杂</w:t>
            </w:r>
            <w:r>
              <w:rPr>
                <w:rFonts w:ascii="Times New Roman" w:eastAsia="Times New Roman"/>
              </w:rPr>
              <w:tab/>
            </w:r>
            <w:r>
              <w:rPr>
                <w:rFonts w:ascii="Calibri" w:eastAsia="Calibri"/>
                <w:spacing w:val="-10"/>
              </w:rPr>
              <w:t>9</w:t>
            </w:r>
          </w:hyperlink>
        </w:p>
        <w:p>
          <w:pPr>
            <w:pStyle w:val="TOC3"/>
            <w:numPr>
              <w:ilvl w:val="0"/>
              <w:numId w:val="2"/>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14">
            <w:r>
              <w:rPr>
                <w:spacing w:val="-2"/>
              </w:rPr>
              <w:t>处</w:t>
            </w:r>
            <w:r>
              <w:rPr>
                <w:spacing w:val="-2"/>
              </w:rPr>
              <w:t>理</w:t>
            </w:r>
            <w:r>
              <w:rPr>
                <w:spacing w:val="-2"/>
              </w:rPr>
              <w:t>架构更新换</w:t>
            </w:r>
            <w:r>
              <w:rPr>
                <w:spacing w:val="-10"/>
              </w:rPr>
              <w:t>代</w:t>
            </w:r>
            <w:r>
              <w:rPr>
                <w:rFonts w:ascii="Times New Roman" w:eastAsia="Times New Roman"/>
              </w:rPr>
              <w:tab/>
            </w:r>
            <w:r>
              <w:rPr>
                <w:rFonts w:ascii="Calibri" w:eastAsia="Calibri"/>
                <w:spacing w:val="-5"/>
              </w:rPr>
              <w:t>10</w:t>
            </w:r>
          </w:hyperlink>
        </w:p>
        <w:p>
          <w:pPr>
            <w:pStyle w:val="TOC3"/>
            <w:numPr>
              <w:ilvl w:val="0"/>
              <w:numId w:val="2"/>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15">
            <w:r>
              <w:rPr>
                <w:spacing w:val="-2"/>
              </w:rPr>
              <w:t>组</w:t>
            </w:r>
            <w:r>
              <w:rPr>
                <w:spacing w:val="-2"/>
              </w:rPr>
              <w:t>织</w:t>
            </w:r>
            <w:r>
              <w:rPr>
                <w:spacing w:val="-2"/>
              </w:rPr>
              <w:t>职能升级变</w:t>
            </w:r>
            <w:r>
              <w:rPr>
                <w:spacing w:val="-10"/>
              </w:rPr>
              <w:t>迁</w:t>
            </w:r>
            <w:r>
              <w:rPr>
                <w:rFonts w:ascii="Times New Roman" w:eastAsia="Times New Roman"/>
              </w:rPr>
              <w:tab/>
            </w:r>
            <w:r>
              <w:rPr>
                <w:rFonts w:ascii="Calibri" w:eastAsia="Calibri"/>
                <w:spacing w:val="-5"/>
              </w:rPr>
              <w:t>10</w:t>
            </w:r>
          </w:hyperlink>
        </w:p>
        <w:p>
          <w:pPr>
            <w:pStyle w:val="TOC3"/>
            <w:numPr>
              <w:ilvl w:val="0"/>
              <w:numId w:val="2"/>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16">
            <w:r>
              <w:rPr>
                <w:spacing w:val="-2"/>
              </w:rPr>
              <w:t>管</w:t>
            </w:r>
            <w:r>
              <w:rPr>
                <w:spacing w:val="-2"/>
              </w:rPr>
              <w:t>理</w:t>
            </w:r>
            <w:r>
              <w:rPr>
                <w:spacing w:val="-2"/>
              </w:rPr>
              <w:t>手段自动智</w:t>
            </w:r>
            <w:r>
              <w:rPr>
                <w:spacing w:val="-10"/>
              </w:rPr>
              <w:t>能</w:t>
            </w:r>
            <w:r>
              <w:rPr>
                <w:rFonts w:ascii="Times New Roman" w:eastAsia="Times New Roman"/>
              </w:rPr>
              <w:tab/>
            </w:r>
            <w:r>
              <w:rPr>
                <w:rFonts w:ascii="Calibri" w:eastAsia="Calibri"/>
                <w:spacing w:val="-5"/>
              </w:rPr>
              <w:t>11</w:t>
            </w:r>
          </w:hyperlink>
        </w:p>
        <w:p>
          <w:pPr>
            <w:pStyle w:val="TOC3"/>
            <w:numPr>
              <w:ilvl w:val="0"/>
              <w:numId w:val="2"/>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17">
            <w:r>
              <w:rPr>
                <w:spacing w:val="-2"/>
              </w:rPr>
              <w:t>应</w:t>
            </w:r>
            <w:r>
              <w:rPr>
                <w:spacing w:val="-2"/>
              </w:rPr>
              <w:t>用</w:t>
            </w:r>
            <w:r>
              <w:rPr>
                <w:spacing w:val="-2"/>
              </w:rPr>
              <w:t>范围不断扩</w:t>
            </w:r>
            <w:r>
              <w:rPr>
                <w:spacing w:val="-10"/>
              </w:rPr>
              <w:t>大</w:t>
            </w:r>
            <w:r>
              <w:rPr>
                <w:rFonts w:ascii="Times New Roman" w:eastAsia="Times New Roman"/>
              </w:rPr>
              <w:tab/>
            </w:r>
            <w:r>
              <w:rPr>
                <w:rFonts w:ascii="Calibri" w:eastAsia="Calibri"/>
                <w:spacing w:val="-5"/>
              </w:rPr>
              <w:t>11</w:t>
            </w:r>
          </w:hyperlink>
        </w:p>
        <w:p>
          <w:pPr>
            <w:pStyle w:val="TOC3"/>
            <w:tabs>
              <w:tab w:pos="2160" w:val="left" w:leader="none"/>
              <w:tab w:pos="9621" w:val="right" w:leader="dot"/>
            </w:tabs>
            <w:ind w:left="1320" w:firstLine="0"/>
            <w:rPr>
              <w:rFonts w:ascii="Calibri" w:eastAsia="Calibri"/>
            </w:rPr>
          </w:pPr>
          <w:hyperlink w:history="true" w:anchor="_bookmark18">
            <w:r>
              <w:rPr>
                <w:rFonts w:ascii="黑体" w:eastAsia="黑体"/>
              </w:rPr>
              <w:t>二</w:t>
            </w:r>
            <w:r>
              <w:rPr>
                <w:rFonts w:ascii="黑体" w:eastAsia="黑体"/>
                <w:spacing w:val="-10"/>
              </w:rPr>
              <w:t>、</w:t>
            </w:r>
            <w:r>
              <w:rPr>
                <w:rFonts w:ascii="黑体" w:eastAsia="黑体"/>
              </w:rPr>
              <w:tab/>
            </w:r>
            <w:r>
              <w:rPr>
                <w:rFonts w:ascii="黑体" w:eastAsia="黑体"/>
                <w:spacing w:val="-2"/>
              </w:rPr>
              <w:t>数</w:t>
            </w:r>
            <w:r>
              <w:rPr>
                <w:rFonts w:ascii="黑体" w:eastAsia="黑体"/>
                <w:spacing w:val="-2"/>
              </w:rPr>
              <w:t>据</w:t>
            </w:r>
            <w:r>
              <w:rPr>
                <w:rFonts w:ascii="黑体" w:eastAsia="黑体"/>
                <w:spacing w:val="-2"/>
              </w:rPr>
              <w:t>资产管理的主要</w:t>
            </w:r>
            <w:r>
              <w:rPr>
                <w:rFonts w:ascii="黑体" w:eastAsia="黑体"/>
                <w:spacing w:val="-2"/>
              </w:rPr>
              <w:t>内</w:t>
            </w:r>
            <w:r>
              <w:rPr>
                <w:rFonts w:ascii="黑体" w:eastAsia="黑体"/>
                <w:spacing w:val="-10"/>
              </w:rPr>
              <w:t>容</w:t>
            </w:r>
            <w:r>
              <w:rPr>
                <w:rFonts w:ascii="Times New Roman" w:eastAsia="Times New Roman"/>
              </w:rPr>
              <w:tab/>
            </w:r>
            <w:r>
              <w:rPr>
                <w:rFonts w:ascii="Calibri" w:eastAsia="Calibri"/>
                <w:spacing w:val="-5"/>
              </w:rPr>
              <w:t>12</w:t>
            </w:r>
          </w:hyperlink>
        </w:p>
        <w:p>
          <w:pPr>
            <w:pStyle w:val="TOC3"/>
            <w:tabs>
              <w:tab w:pos="2160" w:val="left" w:leader="none"/>
              <w:tab w:pos="9621" w:val="right" w:leader="dot"/>
            </w:tabs>
            <w:ind w:left="1320" w:firstLine="0"/>
            <w:rPr>
              <w:rFonts w:ascii="Calibri" w:eastAsia="Calibri"/>
            </w:rPr>
          </w:pPr>
          <w:hyperlink w:history="true" w:anchor="_bookmark20">
            <w:r>
              <w:rPr>
                <w:rFonts w:ascii="Times New Roman" w:eastAsia="Times New Roman"/>
                <w:spacing w:val="-2"/>
              </w:rPr>
              <w:t>(</w:t>
            </w:r>
            <w:r>
              <w:rPr>
                <w:spacing w:val="-2"/>
              </w:rPr>
              <w:t>一</w:t>
            </w:r>
            <w:r>
              <w:rPr>
                <w:rFonts w:ascii="Times New Roman" w:eastAsia="Times New Roman"/>
                <w:spacing w:val="-10"/>
              </w:rPr>
              <w:t>)</w:t>
            </w:r>
            <w:r>
              <w:rPr>
                <w:rFonts w:ascii="Times New Roman" w:eastAsia="Times New Roman"/>
              </w:rPr>
              <w:tab/>
            </w:r>
            <w:r>
              <w:rPr>
                <w:spacing w:val="-2"/>
              </w:rPr>
              <w:t>管</w:t>
            </w:r>
            <w:r>
              <w:rPr>
                <w:spacing w:val="-2"/>
              </w:rPr>
              <w:t>理</w:t>
            </w:r>
            <w:r>
              <w:rPr>
                <w:spacing w:val="-2"/>
              </w:rPr>
              <w:t>职</w:t>
            </w:r>
            <w:r>
              <w:rPr>
                <w:spacing w:val="-10"/>
              </w:rPr>
              <w:t>能</w:t>
            </w:r>
            <w:r>
              <w:rPr>
                <w:rFonts w:ascii="Times New Roman" w:eastAsia="Times New Roman"/>
              </w:rPr>
              <w:tab/>
            </w:r>
            <w:r>
              <w:rPr>
                <w:rFonts w:ascii="Calibri" w:eastAsia="Calibri"/>
                <w:spacing w:val="-5"/>
                <w:w w:val="95"/>
              </w:rPr>
              <w:t>12</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1">
            <w:r>
              <w:rPr>
                <w:spacing w:val="-2"/>
              </w:rPr>
              <w:t>数</w:t>
            </w:r>
            <w:r>
              <w:rPr>
                <w:spacing w:val="-2"/>
              </w:rPr>
              <w:t>据</w:t>
            </w:r>
            <w:r>
              <w:rPr>
                <w:spacing w:val="-2"/>
              </w:rPr>
              <w:t>标准管</w:t>
            </w:r>
            <w:r>
              <w:rPr>
                <w:spacing w:val="-10"/>
              </w:rPr>
              <w:t>理</w:t>
            </w:r>
            <w:r>
              <w:rPr>
                <w:rFonts w:ascii="Times New Roman" w:eastAsia="Times New Roman"/>
              </w:rPr>
              <w:tab/>
            </w:r>
            <w:r>
              <w:rPr>
                <w:rFonts w:ascii="Calibri" w:eastAsia="Calibri"/>
                <w:spacing w:val="-5"/>
              </w:rPr>
              <w:t>12</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2">
            <w:r>
              <w:rPr>
                <w:spacing w:val="-2"/>
              </w:rPr>
              <w:t>数</w:t>
            </w:r>
            <w:r>
              <w:rPr>
                <w:spacing w:val="-2"/>
              </w:rPr>
              <w:t>据</w:t>
            </w:r>
            <w:r>
              <w:rPr>
                <w:spacing w:val="-2"/>
              </w:rPr>
              <w:t>模型管</w:t>
            </w:r>
            <w:r>
              <w:rPr>
                <w:spacing w:val="-10"/>
              </w:rPr>
              <w:t>理</w:t>
            </w:r>
            <w:r>
              <w:rPr>
                <w:rFonts w:ascii="Times New Roman" w:eastAsia="Times New Roman"/>
              </w:rPr>
              <w:tab/>
            </w:r>
            <w:r>
              <w:rPr>
                <w:rFonts w:ascii="Calibri" w:eastAsia="Calibri"/>
                <w:spacing w:val="-5"/>
              </w:rPr>
              <w:t>13</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3">
            <w:r>
              <w:rPr>
                <w:spacing w:val="-2"/>
              </w:rPr>
              <w:t>元</w:t>
            </w:r>
            <w:r>
              <w:rPr>
                <w:spacing w:val="-2"/>
              </w:rPr>
              <w:t>数</w:t>
            </w:r>
            <w:r>
              <w:rPr>
                <w:spacing w:val="-2"/>
              </w:rPr>
              <w:t>据</w:t>
            </w:r>
            <w:r>
              <w:rPr>
                <w:spacing w:val="-2"/>
              </w:rPr>
              <w:t>管</w:t>
            </w:r>
            <w:r>
              <w:rPr>
                <w:spacing w:val="-10"/>
              </w:rPr>
              <w:t>理</w:t>
            </w:r>
            <w:r>
              <w:rPr>
                <w:rFonts w:ascii="Times New Roman" w:eastAsia="Times New Roman"/>
              </w:rPr>
              <w:tab/>
            </w:r>
            <w:r>
              <w:rPr>
                <w:rFonts w:ascii="Calibri" w:eastAsia="Calibri"/>
                <w:spacing w:val="-5"/>
              </w:rPr>
              <w:t>15</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4">
            <w:r>
              <w:rPr>
                <w:spacing w:val="-2"/>
              </w:rPr>
              <w:t>主</w:t>
            </w:r>
            <w:r>
              <w:rPr>
                <w:spacing w:val="-2"/>
              </w:rPr>
              <w:t>数</w:t>
            </w:r>
            <w:r>
              <w:rPr>
                <w:spacing w:val="-2"/>
              </w:rPr>
              <w:t>据</w:t>
            </w:r>
            <w:r>
              <w:rPr>
                <w:spacing w:val="-2"/>
              </w:rPr>
              <w:t>管</w:t>
            </w:r>
            <w:r>
              <w:rPr>
                <w:spacing w:val="-10"/>
              </w:rPr>
              <w:t>理</w:t>
            </w:r>
            <w:r>
              <w:rPr>
                <w:rFonts w:ascii="Times New Roman" w:eastAsia="Times New Roman"/>
              </w:rPr>
              <w:tab/>
            </w:r>
            <w:r>
              <w:rPr>
                <w:rFonts w:ascii="Calibri" w:eastAsia="Calibri"/>
                <w:spacing w:val="-5"/>
              </w:rPr>
              <w:t>16</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5">
            <w:r>
              <w:rPr>
                <w:spacing w:val="-2"/>
              </w:rPr>
              <w:t>数</w:t>
            </w:r>
            <w:r>
              <w:rPr>
                <w:spacing w:val="-2"/>
              </w:rPr>
              <w:t>据</w:t>
            </w:r>
            <w:r>
              <w:rPr>
                <w:spacing w:val="-2"/>
              </w:rPr>
              <w:t>质量管</w:t>
            </w:r>
            <w:r>
              <w:rPr>
                <w:spacing w:val="-10"/>
              </w:rPr>
              <w:t>理</w:t>
            </w:r>
            <w:r>
              <w:rPr>
                <w:rFonts w:ascii="Times New Roman" w:eastAsia="Times New Roman"/>
              </w:rPr>
              <w:tab/>
            </w:r>
            <w:r>
              <w:rPr>
                <w:rFonts w:ascii="Calibri" w:eastAsia="Calibri"/>
                <w:spacing w:val="-5"/>
              </w:rPr>
              <w:t>18</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6">
            <w:r>
              <w:rPr>
                <w:spacing w:val="-2"/>
              </w:rPr>
              <w:t>数</w:t>
            </w:r>
            <w:r>
              <w:rPr>
                <w:spacing w:val="-2"/>
              </w:rPr>
              <w:t>据</w:t>
            </w:r>
            <w:r>
              <w:rPr>
                <w:spacing w:val="-2"/>
              </w:rPr>
              <w:t>安全管</w:t>
            </w:r>
            <w:r>
              <w:rPr>
                <w:spacing w:val="-10"/>
              </w:rPr>
              <w:t>理</w:t>
            </w:r>
            <w:r>
              <w:rPr>
                <w:rFonts w:ascii="Times New Roman" w:eastAsia="Times New Roman"/>
              </w:rPr>
              <w:tab/>
            </w:r>
            <w:r>
              <w:rPr>
                <w:rFonts w:ascii="Calibri" w:eastAsia="Calibri"/>
                <w:spacing w:val="-5"/>
              </w:rPr>
              <w:t>19</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7">
            <w:r>
              <w:rPr>
                <w:spacing w:val="-2"/>
              </w:rPr>
              <w:t>数</w:t>
            </w:r>
            <w:r>
              <w:rPr>
                <w:spacing w:val="-2"/>
              </w:rPr>
              <w:t>据</w:t>
            </w:r>
            <w:r>
              <w:rPr>
                <w:spacing w:val="-2"/>
              </w:rPr>
              <w:t>价值管</w:t>
            </w:r>
            <w:r>
              <w:rPr>
                <w:spacing w:val="-10"/>
              </w:rPr>
              <w:t>理</w:t>
            </w:r>
            <w:r>
              <w:rPr>
                <w:rFonts w:ascii="Times New Roman" w:eastAsia="Times New Roman"/>
              </w:rPr>
              <w:tab/>
            </w:r>
            <w:r>
              <w:rPr>
                <w:rFonts w:ascii="Calibri" w:eastAsia="Calibri"/>
                <w:spacing w:val="-5"/>
              </w:rPr>
              <w:t>20</w:t>
            </w:r>
          </w:hyperlink>
        </w:p>
        <w:p>
          <w:pPr>
            <w:pStyle w:val="TOC3"/>
            <w:numPr>
              <w:ilvl w:val="0"/>
              <w:numId w:val="3"/>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29">
            <w:r>
              <w:rPr>
                <w:spacing w:val="-2"/>
              </w:rPr>
              <w:t>数</w:t>
            </w:r>
            <w:r>
              <w:rPr>
                <w:spacing w:val="-2"/>
              </w:rPr>
              <w:t>据</w:t>
            </w:r>
            <w:r>
              <w:rPr>
                <w:spacing w:val="-2"/>
              </w:rPr>
              <w:t>共享管</w:t>
            </w:r>
            <w:r>
              <w:rPr>
                <w:spacing w:val="-10"/>
              </w:rPr>
              <w:t>理</w:t>
            </w:r>
            <w:r>
              <w:rPr>
                <w:rFonts w:ascii="Times New Roman" w:eastAsia="Times New Roman"/>
              </w:rPr>
              <w:tab/>
            </w:r>
            <w:r>
              <w:rPr>
                <w:rFonts w:ascii="Calibri" w:eastAsia="Calibri"/>
                <w:spacing w:val="-5"/>
              </w:rPr>
              <w:t>21</w:t>
            </w:r>
          </w:hyperlink>
        </w:p>
        <w:p>
          <w:pPr>
            <w:pStyle w:val="TOC3"/>
            <w:tabs>
              <w:tab w:pos="2160" w:val="left" w:leader="none"/>
              <w:tab w:pos="9621" w:val="right" w:leader="dot"/>
            </w:tabs>
            <w:ind w:left="1320" w:firstLine="0"/>
            <w:rPr>
              <w:rFonts w:ascii="Calibri" w:eastAsia="Calibri"/>
            </w:rPr>
          </w:pPr>
          <w:hyperlink w:history="true" w:anchor="_bookmark31">
            <w:r>
              <w:rPr>
                <w:rFonts w:ascii="Times New Roman" w:eastAsia="Times New Roman"/>
                <w:spacing w:val="-2"/>
              </w:rPr>
              <w:t>(</w:t>
            </w:r>
            <w:r>
              <w:rPr>
                <w:spacing w:val="-2"/>
              </w:rPr>
              <w:t>二</w:t>
            </w:r>
            <w:r>
              <w:rPr>
                <w:rFonts w:ascii="Times New Roman" w:eastAsia="Times New Roman"/>
                <w:spacing w:val="-10"/>
              </w:rPr>
              <w:t>)</w:t>
            </w:r>
            <w:r>
              <w:rPr>
                <w:rFonts w:ascii="Times New Roman" w:eastAsia="Times New Roman"/>
              </w:rPr>
              <w:tab/>
            </w:r>
            <w:r>
              <w:rPr>
                <w:spacing w:val="-2"/>
              </w:rPr>
              <w:t>保</w:t>
            </w:r>
            <w:r>
              <w:rPr>
                <w:spacing w:val="-2"/>
              </w:rPr>
              <w:t>障</w:t>
            </w:r>
            <w:r>
              <w:rPr>
                <w:spacing w:val="-2"/>
              </w:rPr>
              <w:t>措</w:t>
            </w:r>
            <w:r>
              <w:rPr>
                <w:spacing w:val="-10"/>
              </w:rPr>
              <w:t>施</w:t>
            </w:r>
            <w:r>
              <w:rPr>
                <w:rFonts w:ascii="Times New Roman" w:eastAsia="Times New Roman"/>
              </w:rPr>
              <w:tab/>
            </w:r>
            <w:r>
              <w:rPr>
                <w:rFonts w:ascii="Calibri" w:eastAsia="Calibri"/>
                <w:spacing w:val="-5"/>
                <w:w w:val="95"/>
              </w:rPr>
              <w:t>23</w:t>
            </w:r>
          </w:hyperlink>
        </w:p>
        <w:p>
          <w:pPr>
            <w:pStyle w:val="TOC3"/>
            <w:numPr>
              <w:ilvl w:val="0"/>
              <w:numId w:val="4"/>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32">
            <w:r>
              <w:rPr>
                <w:spacing w:val="-2"/>
              </w:rPr>
              <w:t>制</w:t>
            </w:r>
            <w:r>
              <w:rPr>
                <w:spacing w:val="-2"/>
              </w:rPr>
              <w:t>定</w:t>
            </w:r>
            <w:r>
              <w:rPr>
                <w:spacing w:val="-2"/>
              </w:rPr>
              <w:t>战略规</w:t>
            </w:r>
            <w:r>
              <w:rPr>
                <w:spacing w:val="-10"/>
              </w:rPr>
              <w:t>划</w:t>
            </w:r>
            <w:r>
              <w:rPr>
                <w:rFonts w:ascii="Times New Roman" w:eastAsia="Times New Roman"/>
              </w:rPr>
              <w:tab/>
            </w:r>
            <w:r>
              <w:rPr>
                <w:rFonts w:ascii="Calibri" w:eastAsia="Calibri"/>
                <w:spacing w:val="-5"/>
              </w:rPr>
              <w:t>23</w:t>
            </w:r>
          </w:hyperlink>
        </w:p>
        <w:p>
          <w:pPr>
            <w:pStyle w:val="TOC3"/>
            <w:numPr>
              <w:ilvl w:val="0"/>
              <w:numId w:val="4"/>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33">
            <w:r>
              <w:rPr>
                <w:spacing w:val="-2"/>
              </w:rPr>
              <w:t>完</w:t>
            </w:r>
            <w:r>
              <w:rPr>
                <w:spacing w:val="-2"/>
              </w:rPr>
              <w:t>善</w:t>
            </w:r>
            <w:r>
              <w:rPr>
                <w:spacing w:val="-2"/>
              </w:rPr>
              <w:t>组织架</w:t>
            </w:r>
            <w:r>
              <w:rPr>
                <w:spacing w:val="-10"/>
              </w:rPr>
              <w:t>构</w:t>
            </w:r>
            <w:r>
              <w:rPr>
                <w:rFonts w:ascii="Times New Roman" w:eastAsia="Times New Roman"/>
              </w:rPr>
              <w:tab/>
            </w:r>
            <w:r>
              <w:rPr>
                <w:rFonts w:ascii="Calibri" w:eastAsia="Calibri"/>
                <w:spacing w:val="-5"/>
              </w:rPr>
              <w:t>24</w:t>
            </w:r>
          </w:hyperlink>
        </w:p>
        <w:p>
          <w:pPr>
            <w:pStyle w:val="TOC3"/>
            <w:numPr>
              <w:ilvl w:val="0"/>
              <w:numId w:val="4"/>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37">
            <w:r>
              <w:rPr>
                <w:spacing w:val="-2"/>
              </w:rPr>
              <w:t>建</w:t>
            </w:r>
            <w:r>
              <w:rPr>
                <w:spacing w:val="-2"/>
              </w:rPr>
              <w:t>立</w:t>
            </w:r>
            <w:r>
              <w:rPr>
                <w:spacing w:val="-2"/>
              </w:rPr>
              <w:t>制度体</w:t>
            </w:r>
            <w:r>
              <w:rPr>
                <w:spacing w:val="-10"/>
              </w:rPr>
              <w:t>系</w:t>
            </w:r>
            <w:r>
              <w:rPr>
                <w:rFonts w:ascii="Times New Roman" w:eastAsia="Times New Roman"/>
              </w:rPr>
              <w:tab/>
            </w:r>
            <w:r>
              <w:rPr>
                <w:rFonts w:ascii="Calibri" w:eastAsia="Calibri"/>
                <w:spacing w:val="-5"/>
              </w:rPr>
              <w:t>26</w:t>
            </w:r>
          </w:hyperlink>
        </w:p>
        <w:p>
          <w:pPr>
            <w:pStyle w:val="TOC3"/>
            <w:numPr>
              <w:ilvl w:val="0"/>
              <w:numId w:val="4"/>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39">
            <w:r>
              <w:rPr>
                <w:spacing w:val="-2"/>
              </w:rPr>
              <w:t>设</w:t>
            </w:r>
            <w:r>
              <w:rPr>
                <w:spacing w:val="-2"/>
              </w:rPr>
              <w:t>置</w:t>
            </w:r>
            <w:r>
              <w:rPr>
                <w:spacing w:val="-2"/>
              </w:rPr>
              <w:t>审计机</w:t>
            </w:r>
            <w:r>
              <w:rPr>
                <w:spacing w:val="-10"/>
              </w:rPr>
              <w:t>制</w:t>
            </w:r>
            <w:r>
              <w:rPr>
                <w:rFonts w:ascii="Times New Roman" w:eastAsia="Times New Roman"/>
              </w:rPr>
              <w:tab/>
            </w:r>
            <w:r>
              <w:rPr>
                <w:rFonts w:ascii="Calibri" w:eastAsia="Calibri"/>
                <w:spacing w:val="-5"/>
              </w:rPr>
              <w:t>27</w:t>
            </w:r>
          </w:hyperlink>
        </w:p>
        <w:p>
          <w:pPr>
            <w:pStyle w:val="TOC3"/>
            <w:numPr>
              <w:ilvl w:val="0"/>
              <w:numId w:val="4"/>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40">
            <w:r>
              <w:rPr>
                <w:spacing w:val="-2"/>
              </w:rPr>
              <w:t>开</w:t>
            </w:r>
            <w:r>
              <w:rPr>
                <w:spacing w:val="-2"/>
              </w:rPr>
              <w:t>展</w:t>
            </w:r>
            <w:r>
              <w:rPr>
                <w:spacing w:val="-2"/>
              </w:rPr>
              <w:t>培训宣</w:t>
            </w:r>
            <w:r>
              <w:rPr>
                <w:spacing w:val="-10"/>
              </w:rPr>
              <w:t>贯</w:t>
            </w:r>
            <w:r>
              <w:rPr>
                <w:rFonts w:ascii="Times New Roman" w:eastAsia="Times New Roman"/>
              </w:rPr>
              <w:tab/>
            </w:r>
            <w:r>
              <w:rPr>
                <w:rFonts w:ascii="Calibri" w:eastAsia="Calibri"/>
                <w:spacing w:val="-5"/>
              </w:rPr>
              <w:t>28</w:t>
            </w:r>
          </w:hyperlink>
        </w:p>
        <w:p>
          <w:pPr>
            <w:pStyle w:val="TOC3"/>
            <w:tabs>
              <w:tab w:pos="2160" w:val="left" w:leader="none"/>
              <w:tab w:pos="9621" w:val="right" w:leader="dot"/>
            </w:tabs>
            <w:ind w:left="1320" w:firstLine="0"/>
            <w:rPr>
              <w:rFonts w:ascii="Calibri" w:eastAsia="Calibri"/>
            </w:rPr>
          </w:pPr>
          <w:hyperlink w:history="true" w:anchor="_bookmark41">
            <w:r>
              <w:rPr>
                <w:rFonts w:ascii="黑体" w:eastAsia="黑体"/>
              </w:rPr>
              <w:t>三</w:t>
            </w:r>
            <w:r>
              <w:rPr>
                <w:rFonts w:ascii="黑体" w:eastAsia="黑体"/>
                <w:spacing w:val="-10"/>
              </w:rPr>
              <w:t>、</w:t>
            </w:r>
            <w:r>
              <w:rPr>
                <w:rFonts w:ascii="黑体" w:eastAsia="黑体"/>
              </w:rPr>
              <w:tab/>
            </w:r>
            <w:r>
              <w:rPr>
                <w:rFonts w:ascii="黑体" w:eastAsia="黑体"/>
                <w:spacing w:val="-2"/>
              </w:rPr>
              <w:t>数</w:t>
            </w:r>
            <w:r>
              <w:rPr>
                <w:rFonts w:ascii="黑体" w:eastAsia="黑体"/>
                <w:spacing w:val="-2"/>
              </w:rPr>
              <w:t>据</w:t>
            </w:r>
            <w:r>
              <w:rPr>
                <w:rFonts w:ascii="黑体" w:eastAsia="黑体"/>
                <w:spacing w:val="-2"/>
              </w:rPr>
              <w:t>资产管理的实施</w:t>
            </w:r>
            <w:r>
              <w:rPr>
                <w:rFonts w:ascii="黑体" w:eastAsia="黑体"/>
                <w:spacing w:val="-2"/>
              </w:rPr>
              <w:t>要</w:t>
            </w:r>
            <w:r>
              <w:rPr>
                <w:rFonts w:ascii="黑体" w:eastAsia="黑体"/>
                <w:spacing w:val="-10"/>
              </w:rPr>
              <w:t>点</w:t>
            </w:r>
            <w:r>
              <w:rPr>
                <w:rFonts w:ascii="Times New Roman" w:eastAsia="Times New Roman"/>
              </w:rPr>
              <w:tab/>
            </w:r>
            <w:r>
              <w:rPr>
                <w:rFonts w:ascii="Calibri" w:eastAsia="Calibri"/>
                <w:spacing w:val="-5"/>
              </w:rPr>
              <w:t>29</w:t>
            </w:r>
          </w:hyperlink>
        </w:p>
        <w:p>
          <w:pPr>
            <w:pStyle w:val="TOC3"/>
            <w:tabs>
              <w:tab w:pos="2160" w:val="left" w:leader="none"/>
              <w:tab w:pos="9621" w:val="right" w:leader="dot"/>
            </w:tabs>
            <w:ind w:left="1320" w:firstLine="0"/>
            <w:rPr>
              <w:rFonts w:ascii="Calibri" w:eastAsia="Calibri"/>
            </w:rPr>
          </w:pPr>
          <w:hyperlink w:history="true" w:anchor="_bookmark42">
            <w:r>
              <w:rPr>
                <w:rFonts w:ascii="Times New Roman" w:eastAsia="Times New Roman"/>
                <w:spacing w:val="-2"/>
              </w:rPr>
              <w:t>(</w:t>
            </w:r>
            <w:r>
              <w:rPr>
                <w:spacing w:val="-2"/>
              </w:rPr>
              <w:t>一</w:t>
            </w:r>
            <w:r>
              <w:rPr>
                <w:rFonts w:ascii="Times New Roman" w:eastAsia="Times New Roman"/>
                <w:spacing w:val="-10"/>
              </w:rPr>
              <w:t>)</w:t>
            </w:r>
            <w:r>
              <w:rPr>
                <w:rFonts w:ascii="Times New Roman" w:eastAsia="Times New Roman"/>
              </w:rPr>
              <w:tab/>
            </w:r>
            <w:r>
              <w:rPr>
                <w:spacing w:val="-2"/>
              </w:rPr>
              <w:t>实</w:t>
            </w:r>
            <w:r>
              <w:rPr>
                <w:spacing w:val="-2"/>
              </w:rPr>
              <w:t>施</w:t>
            </w:r>
            <w:r>
              <w:rPr>
                <w:spacing w:val="-2"/>
              </w:rPr>
              <w:t>步</w:t>
            </w:r>
            <w:r>
              <w:rPr>
                <w:spacing w:val="-10"/>
              </w:rPr>
              <w:t>骤</w:t>
            </w:r>
            <w:r>
              <w:rPr>
                <w:rFonts w:ascii="Times New Roman" w:eastAsia="Times New Roman"/>
              </w:rPr>
              <w:tab/>
            </w:r>
            <w:r>
              <w:rPr>
                <w:rFonts w:ascii="Calibri" w:eastAsia="Calibri"/>
                <w:spacing w:val="-5"/>
                <w:w w:val="95"/>
              </w:rPr>
              <w:t>29</w:t>
            </w:r>
          </w:hyperlink>
        </w:p>
        <w:p>
          <w:pPr>
            <w:pStyle w:val="TOC3"/>
            <w:numPr>
              <w:ilvl w:val="0"/>
              <w:numId w:val="5"/>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44">
            <w:r>
              <w:rPr>
                <w:spacing w:val="-2"/>
              </w:rPr>
              <w:t>第</w:t>
            </w:r>
            <w:r>
              <w:rPr>
                <w:spacing w:val="-2"/>
              </w:rPr>
              <w:t>一</w:t>
            </w:r>
            <w:r>
              <w:rPr>
                <w:spacing w:val="-2"/>
              </w:rPr>
              <w:t>阶段：统筹</w:t>
            </w:r>
            <w:r>
              <w:rPr>
                <w:spacing w:val="-2"/>
              </w:rPr>
              <w:t>规</w:t>
            </w:r>
            <w:r>
              <w:rPr>
                <w:spacing w:val="-10"/>
              </w:rPr>
              <w:t>划</w:t>
            </w:r>
            <w:r>
              <w:rPr>
                <w:rFonts w:ascii="Times New Roman" w:eastAsia="Times New Roman"/>
              </w:rPr>
              <w:tab/>
            </w:r>
            <w:r>
              <w:rPr>
                <w:rFonts w:ascii="Calibri" w:eastAsia="Calibri"/>
                <w:spacing w:val="-5"/>
              </w:rPr>
              <w:t>30</w:t>
            </w:r>
          </w:hyperlink>
        </w:p>
        <w:p>
          <w:pPr>
            <w:pStyle w:val="TOC3"/>
            <w:numPr>
              <w:ilvl w:val="0"/>
              <w:numId w:val="5"/>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45">
            <w:r>
              <w:rPr>
                <w:spacing w:val="-2"/>
              </w:rPr>
              <w:t>第</w:t>
            </w:r>
            <w:r>
              <w:rPr>
                <w:spacing w:val="-2"/>
              </w:rPr>
              <w:t>二</w:t>
            </w:r>
            <w:r>
              <w:rPr>
                <w:spacing w:val="-2"/>
              </w:rPr>
              <w:t>阶段：管理</w:t>
            </w:r>
            <w:r>
              <w:rPr>
                <w:spacing w:val="-2"/>
              </w:rPr>
              <w:t>实</w:t>
            </w:r>
            <w:r>
              <w:rPr>
                <w:spacing w:val="-10"/>
              </w:rPr>
              <w:t>施</w:t>
            </w:r>
            <w:r>
              <w:rPr>
                <w:rFonts w:ascii="Times New Roman" w:eastAsia="Times New Roman"/>
              </w:rPr>
              <w:tab/>
            </w:r>
            <w:r>
              <w:rPr>
                <w:rFonts w:ascii="Calibri" w:eastAsia="Calibri"/>
                <w:spacing w:val="-5"/>
              </w:rPr>
              <w:t>31</w:t>
            </w:r>
          </w:hyperlink>
        </w:p>
        <w:p>
          <w:pPr>
            <w:pStyle w:val="TOC3"/>
            <w:numPr>
              <w:ilvl w:val="0"/>
              <w:numId w:val="5"/>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46">
            <w:r>
              <w:rPr>
                <w:spacing w:val="-2"/>
              </w:rPr>
              <w:t>第</w:t>
            </w:r>
            <w:r>
              <w:rPr>
                <w:spacing w:val="-2"/>
              </w:rPr>
              <w:t>三</w:t>
            </w:r>
            <w:r>
              <w:rPr>
                <w:spacing w:val="-2"/>
              </w:rPr>
              <w:t>阶段：稽核</w:t>
            </w:r>
            <w:r>
              <w:rPr>
                <w:spacing w:val="-2"/>
              </w:rPr>
              <w:t>检</w:t>
            </w:r>
            <w:r>
              <w:rPr>
                <w:spacing w:val="-10"/>
              </w:rPr>
              <w:t>查</w:t>
            </w:r>
            <w:r>
              <w:rPr>
                <w:rFonts w:ascii="Times New Roman" w:eastAsia="Times New Roman"/>
              </w:rPr>
              <w:tab/>
            </w:r>
            <w:r>
              <w:rPr>
                <w:rFonts w:ascii="Calibri" w:eastAsia="Calibri"/>
                <w:spacing w:val="-5"/>
              </w:rPr>
              <w:t>31</w:t>
            </w:r>
          </w:hyperlink>
        </w:p>
        <w:p>
          <w:pPr>
            <w:pStyle w:val="TOC3"/>
            <w:numPr>
              <w:ilvl w:val="0"/>
              <w:numId w:val="5"/>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47">
            <w:r>
              <w:rPr>
                <w:spacing w:val="-2"/>
              </w:rPr>
              <w:t>第</w:t>
            </w:r>
            <w:r>
              <w:rPr>
                <w:spacing w:val="-2"/>
              </w:rPr>
              <w:t>四</w:t>
            </w:r>
            <w:r>
              <w:rPr>
                <w:spacing w:val="-2"/>
              </w:rPr>
              <w:t>阶段：资产</w:t>
            </w:r>
            <w:r>
              <w:rPr>
                <w:spacing w:val="-2"/>
              </w:rPr>
              <w:t>运</w:t>
            </w:r>
            <w:r>
              <w:rPr>
                <w:spacing w:val="-10"/>
              </w:rPr>
              <w:t>营</w:t>
            </w:r>
            <w:r>
              <w:rPr>
                <w:rFonts w:ascii="Times New Roman" w:eastAsia="Times New Roman"/>
              </w:rPr>
              <w:tab/>
            </w:r>
            <w:r>
              <w:rPr>
                <w:rFonts w:ascii="Calibri" w:eastAsia="Calibri"/>
                <w:spacing w:val="-5"/>
              </w:rPr>
              <w:t>32</w:t>
            </w:r>
          </w:hyperlink>
        </w:p>
        <w:p>
          <w:pPr>
            <w:pStyle w:val="TOC3"/>
            <w:tabs>
              <w:tab w:pos="2160" w:val="left" w:leader="none"/>
              <w:tab w:pos="9621" w:val="right" w:leader="dot"/>
            </w:tabs>
            <w:ind w:left="1320" w:firstLine="0"/>
            <w:rPr>
              <w:rFonts w:ascii="Calibri" w:eastAsia="Calibri"/>
            </w:rPr>
          </w:pPr>
          <w:hyperlink w:history="true" w:anchor="_bookmark48">
            <w:r>
              <w:rPr>
                <w:rFonts w:ascii="Times New Roman" w:eastAsia="Times New Roman"/>
                <w:spacing w:val="-2"/>
              </w:rPr>
              <w:t>(</w:t>
            </w:r>
            <w:r>
              <w:rPr>
                <w:spacing w:val="-2"/>
              </w:rPr>
              <w:t>二</w:t>
            </w:r>
            <w:r>
              <w:rPr>
                <w:rFonts w:ascii="Times New Roman" w:eastAsia="Times New Roman"/>
                <w:spacing w:val="-10"/>
              </w:rPr>
              <w:t>)</w:t>
            </w:r>
            <w:r>
              <w:rPr>
                <w:rFonts w:ascii="Times New Roman" w:eastAsia="Times New Roman"/>
              </w:rPr>
              <w:tab/>
            </w:r>
            <w:r>
              <w:rPr>
                <w:spacing w:val="-2"/>
              </w:rPr>
              <w:t>实</w:t>
            </w:r>
            <w:r>
              <w:rPr>
                <w:spacing w:val="-2"/>
              </w:rPr>
              <w:t>践</w:t>
            </w:r>
            <w:r>
              <w:rPr>
                <w:spacing w:val="-2"/>
              </w:rPr>
              <w:t>模</w:t>
            </w:r>
            <w:r>
              <w:rPr>
                <w:spacing w:val="-10"/>
              </w:rPr>
              <w:t>式</w:t>
            </w:r>
            <w:r>
              <w:rPr>
                <w:rFonts w:ascii="Times New Roman" w:eastAsia="Times New Roman"/>
              </w:rPr>
              <w:tab/>
            </w:r>
            <w:r>
              <w:rPr>
                <w:rFonts w:ascii="Calibri" w:eastAsia="Calibri"/>
                <w:spacing w:val="-5"/>
                <w:w w:val="95"/>
              </w:rPr>
              <w:t>33</w:t>
            </w:r>
          </w:hyperlink>
        </w:p>
        <w:p>
          <w:pPr>
            <w:pStyle w:val="TOC3"/>
            <w:tabs>
              <w:tab w:pos="2160" w:val="left" w:leader="none"/>
              <w:tab w:pos="9621" w:val="right" w:leader="dot"/>
            </w:tabs>
            <w:ind w:left="1320" w:firstLine="0"/>
            <w:rPr>
              <w:rFonts w:ascii="Calibri" w:eastAsia="Calibri"/>
            </w:rPr>
          </w:pPr>
          <w:hyperlink w:history="true" w:anchor="_bookmark51">
            <w:r>
              <w:rPr>
                <w:rFonts w:ascii="Times New Roman" w:eastAsia="Times New Roman"/>
                <w:spacing w:val="-2"/>
              </w:rPr>
              <w:t>(</w:t>
            </w:r>
            <w:r>
              <w:rPr>
                <w:spacing w:val="-2"/>
              </w:rPr>
              <w:t>三</w:t>
            </w:r>
            <w:r>
              <w:rPr>
                <w:rFonts w:ascii="Times New Roman" w:eastAsia="Times New Roman"/>
                <w:spacing w:val="-10"/>
              </w:rPr>
              <w:t>)</w:t>
            </w:r>
            <w:r>
              <w:rPr>
                <w:rFonts w:ascii="Times New Roman" w:eastAsia="Times New Roman"/>
              </w:rPr>
              <w:tab/>
            </w:r>
            <w:r>
              <w:rPr>
                <w:spacing w:val="-2"/>
              </w:rPr>
              <w:t>软</w:t>
            </w:r>
            <w:r>
              <w:rPr>
                <w:spacing w:val="-2"/>
              </w:rPr>
              <w:t>件</w:t>
            </w:r>
            <w:r>
              <w:rPr>
                <w:spacing w:val="-2"/>
              </w:rPr>
              <w:t>工</w:t>
            </w:r>
            <w:r>
              <w:rPr>
                <w:spacing w:val="-10"/>
              </w:rPr>
              <w:t>具</w:t>
            </w:r>
            <w:r>
              <w:rPr>
                <w:rFonts w:ascii="Times New Roman" w:eastAsia="Times New Roman"/>
              </w:rPr>
              <w:tab/>
            </w:r>
            <w:r>
              <w:rPr>
                <w:rFonts w:ascii="Calibri" w:eastAsia="Calibri"/>
                <w:spacing w:val="-5"/>
                <w:w w:val="95"/>
              </w:rPr>
              <w:t>34</w:t>
            </w:r>
          </w:hyperlink>
        </w:p>
        <w:p>
          <w:pPr>
            <w:pStyle w:val="TOC3"/>
            <w:numPr>
              <w:ilvl w:val="0"/>
              <w:numId w:val="6"/>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52">
            <w:r>
              <w:rPr>
                <w:spacing w:val="-2"/>
              </w:rPr>
              <w:t>数</w:t>
            </w:r>
            <w:r>
              <w:rPr>
                <w:spacing w:val="-2"/>
              </w:rPr>
              <w:t>据</w:t>
            </w:r>
            <w:r>
              <w:rPr>
                <w:spacing w:val="-2"/>
              </w:rPr>
              <w:t>标准管理工</w:t>
            </w:r>
            <w:r>
              <w:rPr>
                <w:spacing w:val="-10"/>
              </w:rPr>
              <w:t>具</w:t>
            </w:r>
            <w:r>
              <w:rPr>
                <w:rFonts w:ascii="Times New Roman" w:eastAsia="Times New Roman"/>
              </w:rPr>
              <w:tab/>
            </w:r>
            <w:r>
              <w:rPr>
                <w:rFonts w:ascii="Calibri" w:eastAsia="Calibri"/>
                <w:spacing w:val="-5"/>
              </w:rPr>
              <w:t>35</w:t>
            </w:r>
          </w:hyperlink>
        </w:p>
        <w:p>
          <w:pPr>
            <w:pStyle w:val="TOC3"/>
            <w:numPr>
              <w:ilvl w:val="0"/>
              <w:numId w:val="6"/>
            </w:numPr>
            <w:tabs>
              <w:tab w:pos="1740" w:val="left" w:leader="none"/>
              <w:tab w:pos="1741" w:val="left" w:leader="none"/>
              <w:tab w:pos="9621" w:val="right" w:leader="dot"/>
            </w:tabs>
            <w:spacing w:line="240" w:lineRule="auto" w:before="42" w:after="0"/>
            <w:ind w:left="1740" w:right="0" w:hanging="421"/>
            <w:jc w:val="left"/>
            <w:rPr>
              <w:rFonts w:ascii="Calibri" w:eastAsia="Calibri"/>
            </w:rPr>
          </w:pPr>
          <w:hyperlink w:history="true" w:anchor="_bookmark53">
            <w:r>
              <w:rPr>
                <w:spacing w:val="-2"/>
              </w:rPr>
              <w:t>数</w:t>
            </w:r>
            <w:r>
              <w:rPr>
                <w:spacing w:val="-2"/>
              </w:rPr>
              <w:t>据</w:t>
            </w:r>
            <w:r>
              <w:rPr>
                <w:spacing w:val="-2"/>
              </w:rPr>
              <w:t>模型管理工</w:t>
            </w:r>
            <w:r>
              <w:rPr>
                <w:spacing w:val="-10"/>
              </w:rPr>
              <w:t>具</w:t>
            </w:r>
            <w:r>
              <w:rPr>
                <w:rFonts w:ascii="Times New Roman" w:eastAsia="Times New Roman"/>
              </w:rPr>
              <w:tab/>
            </w:r>
            <w:r>
              <w:rPr>
                <w:rFonts w:ascii="Calibri" w:eastAsia="Calibri"/>
                <w:spacing w:val="-5"/>
              </w:rPr>
              <w:t>36</w:t>
            </w:r>
          </w:hyperlink>
        </w:p>
        <w:p>
          <w:pPr>
            <w:pStyle w:val="TOC2"/>
          </w:pPr>
          <w:r>
            <w:rPr>
              <w:w w:val="99"/>
            </w:rPr>
            <w:t>V</w:t>
          </w:r>
        </w:p>
        <w:p>
          <w:pPr>
            <w:pStyle w:val="TOC3"/>
            <w:numPr>
              <w:ilvl w:val="0"/>
              <w:numId w:val="6"/>
            </w:numPr>
            <w:tabs>
              <w:tab w:pos="1740" w:val="left" w:leader="none"/>
              <w:tab w:pos="1741" w:val="left" w:leader="none"/>
              <w:tab w:pos="9621" w:val="right" w:leader="dot"/>
            </w:tabs>
            <w:spacing w:line="240" w:lineRule="auto" w:before="364" w:after="0"/>
            <w:ind w:left="1740" w:right="0" w:hanging="421"/>
            <w:jc w:val="left"/>
            <w:rPr>
              <w:rFonts w:ascii="Calibri" w:eastAsia="Calibri"/>
            </w:rPr>
          </w:pPr>
          <w:r>
            <w:rPr/>
            <w:pict>
              <v:rect style="position:absolute;margin-left:88.584pt;margin-top:-.339971pt;width:418.27pt;height:.72pt;mso-position-horizontal-relative:page;mso-position-vertical-relative:paragraph;z-index:15730688" id="docshape8" filled="true" fillcolor="#000000" stroked="false">
                <v:fill type="solid"/>
                <w10:wrap type="none"/>
              </v:rect>
            </w:pict>
          </w:r>
          <w:hyperlink w:history="true" w:anchor="_bookmark54">
            <w:r>
              <w:rPr>
                <w:spacing w:val="-2"/>
              </w:rPr>
              <w:t>元</w:t>
            </w:r>
            <w:r>
              <w:rPr>
                <w:spacing w:val="-2"/>
              </w:rPr>
              <w:t>数</w:t>
            </w:r>
            <w:r>
              <w:rPr>
                <w:spacing w:val="-2"/>
              </w:rPr>
              <w:t>据管理</w:t>
            </w:r>
            <w:r>
              <w:rPr>
                <w:spacing w:val="-2"/>
              </w:rPr>
              <w:t>工</w:t>
            </w:r>
            <w:r>
              <w:rPr>
                <w:spacing w:val="-12"/>
              </w:rPr>
              <w:t>具</w:t>
            </w:r>
            <w:r>
              <w:rPr>
                <w:rFonts w:ascii="Times New Roman" w:eastAsia="Times New Roman"/>
              </w:rPr>
              <w:tab/>
            </w:r>
            <w:r>
              <w:rPr>
                <w:rFonts w:ascii="Calibri" w:eastAsia="Calibri"/>
                <w:spacing w:val="-5"/>
              </w:rPr>
              <w:t>37</w:t>
            </w:r>
          </w:hyperlink>
        </w:p>
        <w:p>
          <w:pPr>
            <w:pStyle w:val="TOC3"/>
            <w:numPr>
              <w:ilvl w:val="0"/>
              <w:numId w:val="6"/>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55">
            <w:r>
              <w:rPr>
                <w:spacing w:val="-2"/>
              </w:rPr>
              <w:t>主</w:t>
            </w:r>
            <w:r>
              <w:rPr>
                <w:spacing w:val="-2"/>
              </w:rPr>
              <w:t>数</w:t>
            </w:r>
            <w:r>
              <w:rPr>
                <w:spacing w:val="-2"/>
              </w:rPr>
              <w:t>据管理</w:t>
            </w:r>
            <w:r>
              <w:rPr>
                <w:spacing w:val="-2"/>
              </w:rPr>
              <w:t>工</w:t>
            </w:r>
            <w:r>
              <w:rPr>
                <w:spacing w:val="-12"/>
              </w:rPr>
              <w:t>具</w:t>
            </w:r>
            <w:r>
              <w:rPr>
                <w:rFonts w:ascii="Times New Roman" w:eastAsia="Times New Roman"/>
              </w:rPr>
              <w:tab/>
            </w:r>
            <w:r>
              <w:rPr>
                <w:rFonts w:ascii="Calibri" w:eastAsia="Calibri"/>
                <w:spacing w:val="-5"/>
              </w:rPr>
              <w:t>38</w:t>
            </w:r>
          </w:hyperlink>
        </w:p>
        <w:p>
          <w:pPr>
            <w:pStyle w:val="TOC3"/>
            <w:numPr>
              <w:ilvl w:val="0"/>
              <w:numId w:val="6"/>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56">
            <w:r>
              <w:rPr>
                <w:spacing w:val="-2"/>
              </w:rPr>
              <w:t>数</w:t>
            </w:r>
            <w:r>
              <w:rPr>
                <w:spacing w:val="-2"/>
              </w:rPr>
              <w:t>据</w:t>
            </w:r>
            <w:r>
              <w:rPr>
                <w:spacing w:val="-2"/>
              </w:rPr>
              <w:t>质量管理工</w:t>
            </w:r>
            <w:r>
              <w:rPr>
                <w:spacing w:val="-10"/>
              </w:rPr>
              <w:t>具</w:t>
            </w:r>
            <w:r>
              <w:rPr>
                <w:rFonts w:ascii="Times New Roman" w:eastAsia="Times New Roman"/>
              </w:rPr>
              <w:tab/>
            </w:r>
            <w:r>
              <w:rPr>
                <w:rFonts w:ascii="Calibri" w:eastAsia="Calibri"/>
                <w:spacing w:val="-5"/>
              </w:rPr>
              <w:t>39</w:t>
            </w:r>
          </w:hyperlink>
        </w:p>
        <w:p>
          <w:pPr>
            <w:pStyle w:val="TOC3"/>
            <w:numPr>
              <w:ilvl w:val="0"/>
              <w:numId w:val="6"/>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57">
            <w:r>
              <w:rPr>
                <w:spacing w:val="-2"/>
              </w:rPr>
              <w:t>数</w:t>
            </w:r>
            <w:r>
              <w:rPr>
                <w:spacing w:val="-2"/>
              </w:rPr>
              <w:t>据</w:t>
            </w:r>
            <w:r>
              <w:rPr>
                <w:spacing w:val="-2"/>
              </w:rPr>
              <w:t>安全管理工</w:t>
            </w:r>
            <w:r>
              <w:rPr>
                <w:spacing w:val="-10"/>
              </w:rPr>
              <w:t>具</w:t>
            </w:r>
            <w:r>
              <w:rPr>
                <w:rFonts w:ascii="Times New Roman" w:eastAsia="Times New Roman"/>
              </w:rPr>
              <w:tab/>
            </w:r>
            <w:r>
              <w:rPr>
                <w:rFonts w:ascii="Calibri" w:eastAsia="Calibri"/>
                <w:spacing w:val="-5"/>
              </w:rPr>
              <w:t>40</w:t>
            </w:r>
          </w:hyperlink>
        </w:p>
        <w:p>
          <w:pPr>
            <w:pStyle w:val="TOC3"/>
            <w:numPr>
              <w:ilvl w:val="0"/>
              <w:numId w:val="6"/>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58">
            <w:r>
              <w:rPr>
                <w:spacing w:val="-2"/>
              </w:rPr>
              <w:t>数</w:t>
            </w:r>
            <w:r>
              <w:rPr>
                <w:spacing w:val="-2"/>
              </w:rPr>
              <w:t>据</w:t>
            </w:r>
            <w:r>
              <w:rPr>
                <w:spacing w:val="-2"/>
              </w:rPr>
              <w:t>生命周期管理工</w:t>
            </w:r>
            <w:r>
              <w:rPr>
                <w:spacing w:val="-10"/>
              </w:rPr>
              <w:t>具</w:t>
            </w:r>
            <w:r>
              <w:rPr>
                <w:rFonts w:ascii="Times New Roman" w:eastAsia="Times New Roman"/>
              </w:rPr>
              <w:tab/>
            </w:r>
            <w:r>
              <w:rPr>
                <w:rFonts w:ascii="Calibri" w:eastAsia="Calibri"/>
                <w:spacing w:val="-5"/>
              </w:rPr>
              <w:t>41</w:t>
            </w:r>
          </w:hyperlink>
        </w:p>
        <w:p>
          <w:pPr>
            <w:pStyle w:val="TOC3"/>
            <w:tabs>
              <w:tab w:pos="2160" w:val="left" w:leader="none"/>
              <w:tab w:pos="9621" w:val="right" w:leader="dot"/>
            </w:tabs>
            <w:ind w:left="1320" w:firstLine="0"/>
            <w:rPr>
              <w:rFonts w:ascii="Calibri" w:eastAsia="Calibri"/>
            </w:rPr>
          </w:pPr>
          <w:hyperlink w:history="true" w:anchor="_bookmark59">
            <w:r>
              <w:rPr>
                <w:rFonts w:ascii="Times New Roman" w:eastAsia="Times New Roman"/>
                <w:spacing w:val="-2"/>
              </w:rPr>
              <w:t>(</w:t>
            </w:r>
            <w:r>
              <w:rPr>
                <w:spacing w:val="-2"/>
              </w:rPr>
              <w:t>四</w:t>
            </w:r>
            <w:r>
              <w:rPr>
                <w:rFonts w:ascii="Times New Roman" w:eastAsia="Times New Roman"/>
                <w:spacing w:val="-10"/>
              </w:rPr>
              <w:t>)</w:t>
            </w:r>
            <w:r>
              <w:rPr>
                <w:rFonts w:ascii="Times New Roman" w:eastAsia="Times New Roman"/>
              </w:rPr>
              <w:tab/>
            </w:r>
            <w:r>
              <w:rPr>
                <w:spacing w:val="-2"/>
              </w:rPr>
              <w:t>成</w:t>
            </w:r>
            <w:r>
              <w:rPr>
                <w:spacing w:val="-2"/>
              </w:rPr>
              <w:t>功</w:t>
            </w:r>
            <w:r>
              <w:rPr>
                <w:spacing w:val="-2"/>
              </w:rPr>
              <w:t>要</w:t>
            </w:r>
            <w:r>
              <w:rPr>
                <w:spacing w:val="-10"/>
              </w:rPr>
              <w:t>素</w:t>
            </w:r>
            <w:r>
              <w:rPr>
                <w:rFonts w:ascii="Times New Roman" w:eastAsia="Times New Roman"/>
              </w:rPr>
              <w:tab/>
            </w:r>
            <w:r>
              <w:rPr>
                <w:rFonts w:ascii="Calibri" w:eastAsia="Calibri"/>
                <w:spacing w:val="-5"/>
                <w:w w:val="95"/>
              </w:rPr>
              <w:t>42</w:t>
            </w:r>
          </w:hyperlink>
        </w:p>
        <w:p>
          <w:pPr>
            <w:pStyle w:val="TOC3"/>
            <w:numPr>
              <w:ilvl w:val="0"/>
              <w:numId w:val="7"/>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60">
            <w:r>
              <w:rPr>
                <w:spacing w:val="-2"/>
              </w:rPr>
              <w:t>明</w:t>
            </w:r>
            <w:r>
              <w:rPr>
                <w:spacing w:val="-2"/>
              </w:rPr>
              <w:t>确</w:t>
            </w:r>
            <w:r>
              <w:rPr>
                <w:spacing w:val="-2"/>
              </w:rPr>
              <w:t>责权利标，有效推进</w:t>
            </w:r>
            <w:r>
              <w:rPr>
                <w:spacing w:val="-2"/>
              </w:rPr>
              <w:t>管</w:t>
            </w:r>
            <w:r>
              <w:rPr>
                <w:spacing w:val="-10"/>
              </w:rPr>
              <w:t>理</w:t>
            </w:r>
            <w:r>
              <w:rPr>
                <w:rFonts w:ascii="Times New Roman" w:eastAsia="Times New Roman"/>
              </w:rPr>
              <w:tab/>
            </w:r>
            <w:r>
              <w:rPr>
                <w:rFonts w:ascii="Calibri" w:eastAsia="Calibri"/>
                <w:spacing w:val="-5"/>
              </w:rPr>
              <w:t>42</w:t>
            </w:r>
          </w:hyperlink>
        </w:p>
        <w:p>
          <w:pPr>
            <w:pStyle w:val="TOC3"/>
            <w:numPr>
              <w:ilvl w:val="0"/>
              <w:numId w:val="7"/>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61">
            <w:r>
              <w:rPr>
                <w:spacing w:val="-2"/>
              </w:rPr>
              <w:t>合</w:t>
            </w:r>
            <w:r>
              <w:rPr>
                <w:spacing w:val="-2"/>
              </w:rPr>
              <w:t>理</w:t>
            </w:r>
            <w:r>
              <w:rPr>
                <w:spacing w:val="-2"/>
              </w:rPr>
              <w:t>引进技术，提升治理</w:t>
            </w:r>
            <w:r>
              <w:rPr>
                <w:spacing w:val="-2"/>
              </w:rPr>
              <w:t>能</w:t>
            </w:r>
            <w:r>
              <w:rPr>
                <w:spacing w:val="-10"/>
              </w:rPr>
              <w:t>力</w:t>
            </w:r>
            <w:r>
              <w:rPr>
                <w:rFonts w:ascii="Times New Roman" w:eastAsia="Times New Roman"/>
              </w:rPr>
              <w:tab/>
            </w:r>
            <w:r>
              <w:rPr>
                <w:rFonts w:ascii="Calibri" w:eastAsia="Calibri"/>
                <w:spacing w:val="-5"/>
              </w:rPr>
              <w:t>43</w:t>
            </w:r>
          </w:hyperlink>
        </w:p>
        <w:p>
          <w:pPr>
            <w:pStyle w:val="TOC3"/>
            <w:numPr>
              <w:ilvl w:val="0"/>
              <w:numId w:val="7"/>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62">
            <w:r>
              <w:rPr>
                <w:spacing w:val="-2"/>
              </w:rPr>
              <w:t>着</w:t>
            </w:r>
            <w:r>
              <w:rPr>
                <w:spacing w:val="-2"/>
              </w:rPr>
              <w:t>眼</w:t>
            </w:r>
            <w:r>
              <w:rPr>
                <w:spacing w:val="-2"/>
              </w:rPr>
              <w:t>业务应用，释放数据</w:t>
            </w:r>
            <w:r>
              <w:rPr>
                <w:spacing w:val="-2"/>
              </w:rPr>
              <w:t>价</w:t>
            </w:r>
            <w:r>
              <w:rPr>
                <w:spacing w:val="-10"/>
              </w:rPr>
              <w:t>值</w:t>
            </w:r>
            <w:r>
              <w:rPr>
                <w:rFonts w:ascii="Times New Roman" w:eastAsia="Times New Roman"/>
              </w:rPr>
              <w:tab/>
            </w:r>
            <w:r>
              <w:rPr>
                <w:rFonts w:ascii="Calibri" w:eastAsia="Calibri"/>
                <w:spacing w:val="-5"/>
              </w:rPr>
              <w:t>43</w:t>
            </w:r>
          </w:hyperlink>
        </w:p>
        <w:p>
          <w:pPr>
            <w:pStyle w:val="TOC3"/>
            <w:numPr>
              <w:ilvl w:val="0"/>
              <w:numId w:val="7"/>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63">
            <w:r>
              <w:rPr>
                <w:spacing w:val="-2"/>
              </w:rPr>
              <w:t>加</w:t>
            </w:r>
            <w:r>
              <w:rPr>
                <w:spacing w:val="-2"/>
              </w:rPr>
              <w:t>强</w:t>
            </w:r>
            <w:r>
              <w:rPr>
                <w:spacing w:val="-2"/>
              </w:rPr>
              <w:t>数据合规，注重风险</w:t>
            </w:r>
            <w:r>
              <w:rPr>
                <w:spacing w:val="-2"/>
              </w:rPr>
              <w:t>风</w:t>
            </w:r>
            <w:r>
              <w:rPr>
                <w:spacing w:val="-10"/>
              </w:rPr>
              <w:t>控</w:t>
            </w:r>
            <w:r>
              <w:rPr>
                <w:rFonts w:ascii="Times New Roman" w:eastAsia="Times New Roman"/>
              </w:rPr>
              <w:tab/>
            </w:r>
            <w:r>
              <w:rPr>
                <w:rFonts w:ascii="Calibri" w:eastAsia="Calibri"/>
                <w:spacing w:val="-5"/>
              </w:rPr>
              <w:t>44</w:t>
            </w:r>
          </w:hyperlink>
        </w:p>
        <w:p>
          <w:pPr>
            <w:pStyle w:val="TOC3"/>
            <w:numPr>
              <w:ilvl w:val="0"/>
              <w:numId w:val="7"/>
            </w:numPr>
            <w:tabs>
              <w:tab w:pos="1740" w:val="left" w:leader="none"/>
              <w:tab w:pos="1741" w:val="left" w:leader="none"/>
              <w:tab w:pos="9621" w:val="right" w:leader="dot"/>
            </w:tabs>
            <w:spacing w:line="240" w:lineRule="auto" w:before="43" w:after="0"/>
            <w:ind w:left="1740" w:right="0" w:hanging="421"/>
            <w:jc w:val="left"/>
            <w:rPr>
              <w:rFonts w:ascii="Calibri" w:eastAsia="Calibri"/>
            </w:rPr>
          </w:pPr>
          <w:hyperlink w:history="true" w:anchor="_bookmark64">
            <w:r>
              <w:rPr>
                <w:spacing w:val="-2"/>
              </w:rPr>
              <w:t>持</w:t>
            </w:r>
            <w:r>
              <w:rPr>
                <w:spacing w:val="-2"/>
              </w:rPr>
              <w:t>续</w:t>
            </w:r>
            <w:r>
              <w:rPr>
                <w:spacing w:val="-2"/>
              </w:rPr>
              <w:t>迭代完善，形成良性</w:t>
            </w:r>
            <w:r>
              <w:rPr>
                <w:spacing w:val="-2"/>
              </w:rPr>
              <w:t>闭</w:t>
            </w:r>
            <w:r>
              <w:rPr>
                <w:spacing w:val="-10"/>
              </w:rPr>
              <w:t>环</w:t>
            </w:r>
            <w:r>
              <w:rPr>
                <w:rFonts w:ascii="Times New Roman" w:eastAsia="Times New Roman"/>
              </w:rPr>
              <w:tab/>
            </w:r>
            <w:r>
              <w:rPr>
                <w:rFonts w:ascii="Calibri" w:eastAsia="Calibri"/>
                <w:spacing w:val="-5"/>
              </w:rPr>
              <w:t>44</w:t>
            </w:r>
          </w:hyperlink>
        </w:p>
        <w:p>
          <w:pPr>
            <w:pStyle w:val="TOC3"/>
            <w:tabs>
              <w:tab w:pos="2160" w:val="left" w:leader="none"/>
              <w:tab w:pos="9621" w:val="right" w:leader="dot"/>
            </w:tabs>
            <w:ind w:left="1320" w:firstLine="0"/>
            <w:rPr>
              <w:rFonts w:ascii="Calibri" w:eastAsia="Calibri"/>
            </w:rPr>
          </w:pPr>
          <w:hyperlink w:history="true" w:anchor="_bookmark65">
            <w:r>
              <w:rPr>
                <w:rFonts w:ascii="黑体" w:eastAsia="黑体"/>
              </w:rPr>
              <w:t>四</w:t>
            </w:r>
            <w:r>
              <w:rPr>
                <w:rFonts w:ascii="黑体" w:eastAsia="黑体"/>
                <w:spacing w:val="-10"/>
              </w:rPr>
              <w:t>、</w:t>
            </w:r>
            <w:r>
              <w:rPr>
                <w:rFonts w:ascii="黑体" w:eastAsia="黑体"/>
              </w:rPr>
              <w:tab/>
            </w:r>
            <w:r>
              <w:rPr>
                <w:rFonts w:ascii="黑体" w:eastAsia="黑体"/>
                <w:spacing w:val="-2"/>
              </w:rPr>
              <w:t>总</w:t>
            </w:r>
            <w:r>
              <w:rPr>
                <w:rFonts w:ascii="黑体" w:eastAsia="黑体"/>
                <w:spacing w:val="-2"/>
              </w:rPr>
              <w:t>结</w:t>
            </w:r>
            <w:r>
              <w:rPr>
                <w:rFonts w:ascii="黑体" w:eastAsia="黑体"/>
                <w:spacing w:val="-2"/>
              </w:rPr>
              <w:t>与</w:t>
            </w:r>
            <w:r>
              <w:rPr>
                <w:rFonts w:ascii="黑体" w:eastAsia="黑体"/>
                <w:spacing w:val="-2"/>
              </w:rPr>
              <w:t>展</w:t>
            </w:r>
            <w:r>
              <w:rPr>
                <w:rFonts w:ascii="黑体" w:eastAsia="黑体"/>
                <w:spacing w:val="-10"/>
              </w:rPr>
              <w:t>望</w:t>
            </w:r>
            <w:r>
              <w:rPr>
                <w:rFonts w:ascii="Times New Roman" w:eastAsia="Times New Roman"/>
              </w:rPr>
              <w:tab/>
            </w:r>
            <w:r>
              <w:rPr>
                <w:rFonts w:ascii="Calibri" w:eastAsia="Calibri"/>
                <w:spacing w:val="-5"/>
                <w:w w:val="95"/>
              </w:rPr>
              <w:t>46</w:t>
            </w:r>
          </w:hyperlink>
        </w:p>
        <w:p>
          <w:pPr>
            <w:pStyle w:val="TOC3"/>
            <w:tabs>
              <w:tab w:pos="9621" w:val="right" w:leader="dot"/>
            </w:tabs>
            <w:ind w:left="1320" w:firstLine="0"/>
            <w:rPr>
              <w:rFonts w:ascii="Calibri" w:eastAsia="Calibri"/>
            </w:rPr>
          </w:pPr>
          <w:hyperlink w:history="true" w:anchor="_bookmark66">
            <w:r>
              <w:rPr>
                <w:rFonts w:ascii="黑体" w:eastAsia="黑体"/>
                <w:spacing w:val="-2"/>
              </w:rPr>
              <w:t>附</w:t>
            </w:r>
            <w:r>
              <w:rPr>
                <w:rFonts w:ascii="黑体" w:eastAsia="黑体"/>
                <w:spacing w:val="-2"/>
              </w:rPr>
              <w:t>录</w:t>
            </w:r>
            <w:r>
              <w:rPr>
                <w:rFonts w:ascii="黑体" w:eastAsia="黑体"/>
                <w:spacing w:val="-2"/>
              </w:rPr>
              <w:t>一：术</w:t>
            </w:r>
            <w:r>
              <w:rPr>
                <w:rFonts w:ascii="黑体" w:eastAsia="黑体"/>
                <w:spacing w:val="-10"/>
              </w:rPr>
              <w:t>语</w:t>
            </w:r>
            <w:r>
              <w:rPr>
                <w:rFonts w:ascii="Times New Roman" w:eastAsia="Times New Roman"/>
              </w:rPr>
              <w:tab/>
            </w:r>
            <w:r>
              <w:rPr>
                <w:rFonts w:ascii="Calibri" w:eastAsia="Calibri"/>
                <w:spacing w:val="-5"/>
              </w:rPr>
              <w:t>48</w:t>
            </w:r>
          </w:hyperlink>
        </w:p>
        <w:p>
          <w:pPr>
            <w:pStyle w:val="TOC3"/>
            <w:tabs>
              <w:tab w:pos="9621" w:val="right" w:leader="dot"/>
            </w:tabs>
            <w:ind w:left="1320" w:firstLine="0"/>
            <w:rPr>
              <w:rFonts w:ascii="Calibri" w:eastAsia="Calibri"/>
            </w:rPr>
          </w:pPr>
          <w:hyperlink w:history="true" w:anchor="_bookmark67">
            <w:r>
              <w:rPr>
                <w:rFonts w:ascii="黑体" w:eastAsia="黑体"/>
                <w:spacing w:val="-2"/>
              </w:rPr>
              <w:t>附</w:t>
            </w:r>
            <w:r>
              <w:rPr>
                <w:rFonts w:ascii="黑体" w:eastAsia="黑体"/>
                <w:spacing w:val="-2"/>
              </w:rPr>
              <w:t>录</w:t>
            </w:r>
            <w:r>
              <w:rPr>
                <w:rFonts w:ascii="黑体" w:eastAsia="黑体"/>
                <w:spacing w:val="-2"/>
              </w:rPr>
              <w:t>二：数据资产管理的</w:t>
            </w:r>
            <w:r>
              <w:rPr>
                <w:rFonts w:ascii="黑体" w:eastAsia="黑体"/>
                <w:spacing w:val="-2"/>
              </w:rPr>
              <w:t>实</w:t>
            </w:r>
            <w:r>
              <w:rPr>
                <w:rFonts w:ascii="黑体" w:eastAsia="黑体"/>
                <w:spacing w:val="-2"/>
              </w:rPr>
              <w:t>践</w:t>
            </w:r>
            <w:r>
              <w:rPr>
                <w:rFonts w:ascii="黑体" w:eastAsia="黑体"/>
                <w:spacing w:val="-2"/>
              </w:rPr>
              <w:t>案</w:t>
            </w:r>
            <w:r>
              <w:rPr>
                <w:rFonts w:ascii="黑体" w:eastAsia="黑体"/>
                <w:spacing w:val="-10"/>
              </w:rPr>
              <w:t>例</w:t>
            </w:r>
            <w:r>
              <w:rPr>
                <w:rFonts w:ascii="Times New Roman" w:eastAsia="Times New Roman"/>
              </w:rPr>
              <w:tab/>
            </w:r>
            <w:r>
              <w:rPr>
                <w:rFonts w:ascii="Calibri" w:eastAsia="Calibri"/>
                <w:spacing w:val="-5"/>
              </w:rPr>
              <w:t>51</w:t>
            </w:r>
          </w:hyperlink>
        </w:p>
        <w:p>
          <w:pPr>
            <w:pStyle w:val="TOC3"/>
            <w:tabs>
              <w:tab w:pos="9621" w:val="right" w:leader="dot"/>
            </w:tabs>
            <w:ind w:left="1320" w:firstLine="0"/>
            <w:rPr>
              <w:rFonts w:ascii="Calibri" w:eastAsia="Calibri"/>
            </w:rPr>
          </w:pPr>
          <w:hyperlink w:history="true" w:anchor="_bookmark68">
            <w:r>
              <w:rPr>
                <w:spacing w:val="-2"/>
              </w:rPr>
              <w:t>（</w:t>
            </w:r>
            <w:r>
              <w:rPr>
                <w:spacing w:val="-2"/>
              </w:rPr>
              <w:t>一</w:t>
            </w:r>
            <w:r>
              <w:rPr>
                <w:spacing w:val="-2"/>
              </w:rPr>
              <w:t>）中国电信集团公司</w:t>
            </w:r>
            <w:r>
              <w:rPr>
                <w:spacing w:val="-2"/>
              </w:rPr>
              <w:t>大</w:t>
            </w:r>
            <w:r>
              <w:rPr>
                <w:spacing w:val="-2"/>
              </w:rPr>
              <w:t>数</w:t>
            </w:r>
            <w:r>
              <w:rPr>
                <w:spacing w:val="-2"/>
              </w:rPr>
              <w:t>据资产管理</w:t>
            </w:r>
            <w:r>
              <w:rPr>
                <w:spacing w:val="-2"/>
              </w:rPr>
              <w:t>案</w:t>
            </w:r>
            <w:r>
              <w:rPr>
                <w:spacing w:val="-10"/>
              </w:rPr>
              <w:t>例</w:t>
            </w:r>
            <w:r>
              <w:rPr>
                <w:rFonts w:ascii="Times New Roman" w:eastAsia="Times New Roman"/>
              </w:rPr>
              <w:tab/>
            </w:r>
            <w:r>
              <w:rPr>
                <w:rFonts w:ascii="Calibri" w:eastAsia="Calibri"/>
                <w:spacing w:val="-5"/>
              </w:rPr>
              <w:t>51</w:t>
            </w:r>
          </w:hyperlink>
        </w:p>
        <w:p>
          <w:pPr>
            <w:pStyle w:val="TOC3"/>
            <w:tabs>
              <w:tab w:pos="9621" w:val="right" w:leader="dot"/>
            </w:tabs>
            <w:ind w:left="1320" w:firstLine="0"/>
            <w:rPr>
              <w:rFonts w:ascii="Calibri" w:eastAsia="Calibri"/>
            </w:rPr>
          </w:pPr>
          <w:hyperlink w:history="true" w:anchor="_bookmark69">
            <w:r>
              <w:rPr>
                <w:spacing w:val="-2"/>
              </w:rPr>
              <w:t>（</w:t>
            </w:r>
            <w:r>
              <w:rPr>
                <w:spacing w:val="-2"/>
              </w:rPr>
              <w:t>二</w:t>
            </w:r>
            <w:r>
              <w:rPr>
                <w:spacing w:val="-2"/>
              </w:rPr>
              <w:t>）中国移动省公司大</w:t>
            </w:r>
            <w:r>
              <w:rPr>
                <w:spacing w:val="-2"/>
              </w:rPr>
              <w:t>数</w:t>
            </w:r>
            <w:r>
              <w:rPr>
                <w:spacing w:val="-2"/>
              </w:rPr>
              <w:t>据</w:t>
            </w:r>
            <w:r>
              <w:rPr>
                <w:spacing w:val="-2"/>
              </w:rPr>
              <w:t>资产管理案</w:t>
            </w:r>
            <w:r>
              <w:rPr>
                <w:spacing w:val="-10"/>
              </w:rPr>
              <w:t>例</w:t>
            </w:r>
            <w:r>
              <w:rPr>
                <w:rFonts w:ascii="Times New Roman" w:eastAsia="Times New Roman"/>
              </w:rPr>
              <w:tab/>
            </w:r>
            <w:r>
              <w:rPr>
                <w:rFonts w:ascii="Calibri" w:eastAsia="Calibri"/>
                <w:spacing w:val="-5"/>
              </w:rPr>
              <w:t>59</w:t>
            </w:r>
          </w:hyperlink>
        </w:p>
        <w:p>
          <w:pPr>
            <w:pStyle w:val="TOC3"/>
            <w:tabs>
              <w:tab w:pos="9621" w:val="right" w:leader="dot"/>
            </w:tabs>
            <w:ind w:left="1320" w:firstLine="0"/>
            <w:rPr>
              <w:rFonts w:ascii="Calibri" w:eastAsia="Calibri"/>
            </w:rPr>
          </w:pPr>
          <w:hyperlink w:history="true" w:anchor="_bookmark71">
            <w:r>
              <w:rPr>
                <w:spacing w:val="-2"/>
              </w:rPr>
              <w:t>（</w:t>
            </w:r>
            <w:r>
              <w:rPr>
                <w:spacing w:val="-2"/>
              </w:rPr>
              <w:t>三</w:t>
            </w:r>
            <w:r>
              <w:rPr>
                <w:spacing w:val="-2"/>
              </w:rPr>
              <w:t>）中国保信保险业务</w:t>
            </w:r>
            <w:r>
              <w:rPr>
                <w:spacing w:val="-2"/>
              </w:rPr>
              <w:t>数</w:t>
            </w:r>
            <w:r>
              <w:rPr>
                <w:spacing w:val="-2"/>
              </w:rPr>
              <w:t>据</w:t>
            </w:r>
            <w:r>
              <w:rPr>
                <w:spacing w:val="-2"/>
              </w:rPr>
              <w:t>资产管理案</w:t>
            </w:r>
            <w:r>
              <w:rPr>
                <w:spacing w:val="-10"/>
              </w:rPr>
              <w:t>例</w:t>
            </w:r>
            <w:r>
              <w:rPr>
                <w:rFonts w:ascii="Times New Roman" w:eastAsia="Times New Roman"/>
              </w:rPr>
              <w:tab/>
            </w:r>
            <w:r>
              <w:rPr>
                <w:rFonts w:ascii="Calibri" w:eastAsia="Calibri"/>
                <w:spacing w:val="-5"/>
              </w:rPr>
              <w:t>65</w:t>
            </w:r>
          </w:hyperlink>
        </w:p>
        <w:p>
          <w:pPr>
            <w:pStyle w:val="TOC3"/>
            <w:tabs>
              <w:tab w:pos="9621" w:val="right" w:leader="dot"/>
            </w:tabs>
            <w:ind w:left="1320" w:firstLine="0"/>
            <w:rPr>
              <w:rFonts w:ascii="Calibri" w:eastAsia="Calibri"/>
            </w:rPr>
          </w:pPr>
          <w:hyperlink w:history="true" w:anchor="_bookmark72">
            <w:r>
              <w:rPr>
                <w:spacing w:val="-2"/>
              </w:rPr>
              <w:t>（</w:t>
            </w:r>
            <w:r>
              <w:rPr>
                <w:spacing w:val="-2"/>
              </w:rPr>
              <w:t>四</w:t>
            </w:r>
            <w:r>
              <w:rPr>
                <w:spacing w:val="-2"/>
              </w:rPr>
              <w:t>）基于数据模型的证</w:t>
            </w:r>
            <w:r>
              <w:rPr>
                <w:spacing w:val="-2"/>
              </w:rPr>
              <w:t>券</w:t>
            </w:r>
            <w:r>
              <w:rPr>
                <w:spacing w:val="-2"/>
              </w:rPr>
              <w:t>期</w:t>
            </w:r>
            <w:r>
              <w:rPr>
                <w:spacing w:val="-2"/>
              </w:rPr>
              <w:t>货行业数据资产管理</w:t>
            </w:r>
            <w:r>
              <w:rPr>
                <w:spacing w:val="-2"/>
              </w:rPr>
              <w:t>案</w:t>
            </w:r>
            <w:r>
              <w:rPr>
                <w:spacing w:val="-10"/>
              </w:rPr>
              <w:t>例</w:t>
            </w:r>
            <w:r>
              <w:rPr>
                <w:rFonts w:ascii="Times New Roman" w:eastAsia="Times New Roman"/>
              </w:rPr>
              <w:tab/>
            </w:r>
            <w:r>
              <w:rPr>
                <w:rFonts w:ascii="Calibri" w:eastAsia="Calibri"/>
                <w:spacing w:val="-5"/>
              </w:rPr>
              <w:t>70</w:t>
            </w:r>
          </w:hyperlink>
        </w:p>
        <w:p>
          <w:pPr>
            <w:pStyle w:val="TOC3"/>
            <w:tabs>
              <w:tab w:pos="9621" w:val="right" w:leader="dot"/>
            </w:tabs>
            <w:ind w:left="1320" w:firstLine="0"/>
            <w:rPr>
              <w:rFonts w:ascii="Calibri" w:hAnsi="Calibri" w:eastAsia="Calibri"/>
            </w:rPr>
          </w:pPr>
          <w:hyperlink w:history="true" w:anchor="_bookmark73">
            <w:r>
              <w:rPr>
                <w:spacing w:val="-2"/>
              </w:rPr>
              <w:t>（</w:t>
            </w:r>
            <w:r>
              <w:rPr>
                <w:spacing w:val="-2"/>
              </w:rPr>
              <w:t>五</w:t>
            </w:r>
            <w:r>
              <w:rPr>
                <w:spacing w:val="-2"/>
              </w:rPr>
              <w:t>）</w:t>
            </w:r>
            <w:r>
              <w:rPr>
                <w:rFonts w:ascii="Times New Roman" w:hAnsi="Times New Roman" w:eastAsia="Times New Roman"/>
                <w:spacing w:val="-2"/>
              </w:rPr>
              <w:t>“</w:t>
            </w:r>
            <w:r>
              <w:rPr>
                <w:spacing w:val="-2"/>
              </w:rPr>
              <w:t>云上贵州</w:t>
            </w:r>
            <w:r>
              <w:rPr>
                <w:rFonts w:ascii="Times New Roman" w:hAnsi="Times New Roman" w:eastAsia="Times New Roman"/>
                <w:spacing w:val="-2"/>
              </w:rPr>
              <w:t>”</w:t>
            </w:r>
            <w:r>
              <w:rPr>
                <w:spacing w:val="-2"/>
              </w:rPr>
              <w:t>政务数</w:t>
            </w:r>
            <w:r>
              <w:rPr>
                <w:spacing w:val="-2"/>
              </w:rPr>
              <w:t>据</w:t>
            </w:r>
            <w:r>
              <w:rPr>
                <w:spacing w:val="-2"/>
              </w:rPr>
              <w:t>资</w:t>
            </w:r>
            <w:r>
              <w:rPr>
                <w:spacing w:val="-2"/>
              </w:rPr>
              <w:t>产管理</w:t>
            </w:r>
            <w:r>
              <w:rPr>
                <w:spacing w:val="-2"/>
              </w:rPr>
              <w:t>案</w:t>
            </w:r>
            <w:r>
              <w:rPr>
                <w:spacing w:val="-10"/>
              </w:rPr>
              <w:t>例</w:t>
            </w:r>
            <w:r>
              <w:rPr>
                <w:rFonts w:ascii="Times New Roman" w:hAnsi="Times New Roman" w:eastAsia="Times New Roman"/>
              </w:rPr>
              <w:tab/>
            </w:r>
            <w:r>
              <w:rPr>
                <w:rFonts w:ascii="Calibri" w:hAnsi="Calibri" w:eastAsia="Calibri"/>
                <w:spacing w:val="-5"/>
              </w:rPr>
              <w:t>74</w:t>
            </w:r>
          </w:hyperlink>
        </w:p>
        <w:p>
          <w:pPr>
            <w:pStyle w:val="TOC3"/>
            <w:tabs>
              <w:tab w:pos="9621" w:val="right" w:leader="dot"/>
            </w:tabs>
            <w:ind w:left="1320" w:firstLine="0"/>
            <w:rPr>
              <w:rFonts w:ascii="Calibri" w:eastAsia="Calibri"/>
            </w:rPr>
          </w:pPr>
          <w:hyperlink w:history="true" w:anchor="_bookmark74">
            <w:r>
              <w:rPr>
                <w:spacing w:val="-2"/>
              </w:rPr>
              <w:t>（</w:t>
            </w:r>
            <w:r>
              <w:rPr>
                <w:spacing w:val="-2"/>
              </w:rPr>
              <w:t>六</w:t>
            </w:r>
            <w:r>
              <w:rPr>
                <w:spacing w:val="-2"/>
              </w:rPr>
              <w:t>）某省政务大数据资</w:t>
            </w:r>
            <w:r>
              <w:rPr>
                <w:spacing w:val="-2"/>
              </w:rPr>
              <w:t>产</w:t>
            </w:r>
            <w:r>
              <w:rPr>
                <w:spacing w:val="-2"/>
              </w:rPr>
              <w:t>管</w:t>
            </w:r>
            <w:r>
              <w:rPr>
                <w:spacing w:val="-2"/>
              </w:rPr>
              <w:t>理</w:t>
            </w:r>
            <w:r>
              <w:rPr>
                <w:spacing w:val="-2"/>
              </w:rPr>
              <w:t>案</w:t>
            </w:r>
            <w:r>
              <w:rPr>
                <w:spacing w:val="-10"/>
              </w:rPr>
              <w:t>例</w:t>
            </w:r>
            <w:r>
              <w:rPr>
                <w:rFonts w:ascii="Times New Roman" w:eastAsia="Times New Roman"/>
              </w:rPr>
              <w:tab/>
            </w:r>
            <w:r>
              <w:rPr>
                <w:rFonts w:ascii="Calibri" w:eastAsia="Calibri"/>
                <w:spacing w:val="-5"/>
              </w:rPr>
              <w:t>78</w:t>
            </w:r>
          </w:hyperlink>
        </w:p>
        <w:p>
          <w:pPr>
            <w:pStyle w:val="TOC3"/>
            <w:tabs>
              <w:tab w:pos="9621" w:val="right" w:leader="dot"/>
            </w:tabs>
            <w:ind w:left="1320" w:firstLine="0"/>
            <w:rPr>
              <w:rFonts w:ascii="Calibri" w:eastAsia="Calibri"/>
            </w:rPr>
          </w:pPr>
          <w:hyperlink w:history="true" w:anchor="_bookmark79">
            <w:r>
              <w:rPr>
                <w:spacing w:val="-2"/>
              </w:rPr>
              <w:t>（</w:t>
            </w:r>
            <w:r>
              <w:rPr>
                <w:spacing w:val="-2"/>
              </w:rPr>
              <w:t>七</w:t>
            </w:r>
            <w:r>
              <w:rPr>
                <w:spacing w:val="-2"/>
              </w:rPr>
              <w:t>）某大型医药公司数</w:t>
            </w:r>
            <w:r>
              <w:rPr>
                <w:spacing w:val="-2"/>
              </w:rPr>
              <w:t>据</w:t>
            </w:r>
            <w:r>
              <w:rPr>
                <w:spacing w:val="-2"/>
              </w:rPr>
              <w:t>资</w:t>
            </w:r>
            <w:r>
              <w:rPr>
                <w:spacing w:val="-2"/>
              </w:rPr>
              <w:t>产管理</w:t>
            </w:r>
            <w:r>
              <w:rPr>
                <w:spacing w:val="-2"/>
              </w:rPr>
              <w:t>案</w:t>
            </w:r>
            <w:r>
              <w:rPr>
                <w:spacing w:val="-10"/>
              </w:rPr>
              <w:t>例</w:t>
            </w:r>
            <w:r>
              <w:rPr>
                <w:rFonts w:ascii="Times New Roman" w:eastAsia="Times New Roman"/>
              </w:rPr>
              <w:tab/>
            </w:r>
            <w:r>
              <w:rPr>
                <w:rFonts w:ascii="Calibri" w:eastAsia="Calibri"/>
                <w:spacing w:val="-5"/>
              </w:rPr>
              <w:t>86</w:t>
            </w:r>
          </w:hyperlink>
        </w:p>
        <w:p>
          <w:pPr>
            <w:pStyle w:val="TOC3"/>
            <w:tabs>
              <w:tab w:pos="9621" w:val="right" w:leader="dot"/>
            </w:tabs>
            <w:ind w:left="1320" w:firstLine="0"/>
            <w:rPr>
              <w:rFonts w:ascii="Calibri" w:eastAsia="Calibri"/>
            </w:rPr>
          </w:pPr>
          <w:hyperlink w:history="true" w:anchor="_bookmark80">
            <w:r>
              <w:rPr>
                <w:spacing w:val="-2"/>
              </w:rPr>
              <w:t>（</w:t>
            </w:r>
            <w:r>
              <w:rPr>
                <w:spacing w:val="-2"/>
              </w:rPr>
              <w:t>八</w:t>
            </w:r>
            <w:r>
              <w:rPr>
                <w:spacing w:val="-2"/>
              </w:rPr>
              <w:t>）某大型钢铁集团公</w:t>
            </w:r>
            <w:r>
              <w:rPr>
                <w:spacing w:val="-2"/>
              </w:rPr>
              <w:t>司</w:t>
            </w:r>
            <w:r>
              <w:rPr>
                <w:spacing w:val="-2"/>
              </w:rPr>
              <w:t>数</w:t>
            </w:r>
            <w:r>
              <w:rPr>
                <w:spacing w:val="-2"/>
              </w:rPr>
              <w:t>据资产管理</w:t>
            </w:r>
            <w:r>
              <w:rPr>
                <w:spacing w:val="-2"/>
              </w:rPr>
              <w:t>案</w:t>
            </w:r>
            <w:r>
              <w:rPr>
                <w:spacing w:val="-10"/>
              </w:rPr>
              <w:t>例</w:t>
            </w:r>
            <w:r>
              <w:rPr>
                <w:rFonts w:ascii="Times New Roman" w:eastAsia="Times New Roman"/>
              </w:rPr>
              <w:tab/>
            </w:r>
            <w:r>
              <w:rPr>
                <w:rFonts w:ascii="Calibri" w:eastAsia="Calibri"/>
                <w:spacing w:val="-5"/>
              </w:rPr>
              <w:t>90</w:t>
            </w:r>
          </w:hyperlink>
        </w:p>
        <w:p>
          <w:pPr>
            <w:pStyle w:val="TOC3"/>
            <w:tabs>
              <w:tab w:pos="9621" w:val="right" w:leader="dot"/>
            </w:tabs>
            <w:ind w:left="1320" w:firstLine="0"/>
            <w:rPr>
              <w:rFonts w:ascii="Calibri" w:eastAsia="Calibri"/>
            </w:rPr>
          </w:pPr>
          <w:hyperlink w:history="true" w:anchor="_bookmark85">
            <w:r>
              <w:rPr>
                <w:spacing w:val="-2"/>
              </w:rPr>
              <w:t>（</w:t>
            </w:r>
            <w:r>
              <w:rPr>
                <w:spacing w:val="-2"/>
              </w:rPr>
              <w:t>九</w:t>
            </w:r>
            <w:r>
              <w:rPr>
                <w:spacing w:val="-2"/>
              </w:rPr>
              <w:t>）湖北省物价数据资</w:t>
            </w:r>
            <w:r>
              <w:rPr>
                <w:spacing w:val="-2"/>
              </w:rPr>
              <w:t>产</w:t>
            </w:r>
            <w:r>
              <w:rPr>
                <w:spacing w:val="-2"/>
              </w:rPr>
              <w:t>管</w:t>
            </w:r>
            <w:r>
              <w:rPr>
                <w:spacing w:val="-2"/>
              </w:rPr>
              <w:t>理</w:t>
            </w:r>
            <w:r>
              <w:rPr>
                <w:spacing w:val="-2"/>
              </w:rPr>
              <w:t>案</w:t>
            </w:r>
            <w:r>
              <w:rPr>
                <w:spacing w:val="-10"/>
              </w:rPr>
              <w:t>例</w:t>
            </w:r>
            <w:r>
              <w:rPr>
                <w:rFonts w:ascii="Times New Roman" w:eastAsia="Times New Roman"/>
              </w:rPr>
              <w:tab/>
            </w:r>
            <w:r>
              <w:rPr>
                <w:rFonts w:ascii="Calibri" w:eastAsia="Calibri"/>
                <w:spacing w:val="-5"/>
              </w:rPr>
              <w:t>94</w:t>
            </w:r>
          </w:hyperlink>
        </w:p>
      </w:sdtContent>
    </w:sdt>
    <w:p>
      <w:pPr>
        <w:spacing w:after="0"/>
        <w:rPr>
          <w:rFonts w:ascii="Calibri" w:eastAsia="Calibri"/>
        </w:rPr>
        <w:sectPr>
          <w:type w:val="continuous"/>
          <w:pgSz w:w="11910" w:h="16840"/>
          <w:pgMar w:top="1100" w:bottom="1194" w:left="480" w:right="4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8"/>
        </w:rPr>
      </w:pPr>
    </w:p>
    <w:p>
      <w:pPr>
        <w:spacing w:before="0"/>
        <w:ind w:left="1329" w:right="1323" w:firstLine="0"/>
        <w:jc w:val="center"/>
        <w:rPr>
          <w:rFonts w:ascii="Times New Roman"/>
          <w:sz w:val="18"/>
        </w:rPr>
      </w:pPr>
      <w:r>
        <w:rPr>
          <w:rFonts w:ascii="Times New Roman"/>
          <w:spacing w:val="-5"/>
          <w:sz w:val="18"/>
        </w:rPr>
        <w:t>VI</w:t>
      </w:r>
    </w:p>
    <w:p>
      <w:pPr>
        <w:spacing w:after="0"/>
        <w:jc w:val="center"/>
        <w:rPr>
          <w:rFonts w:ascii="Times New Roman"/>
          <w:sz w:val="18"/>
        </w:rPr>
        <w:sectPr>
          <w:type w:val="continuous"/>
          <w:pgSz w:w="11910" w:h="16840"/>
          <w:pgMar w:top="1080" w:bottom="280" w:left="480" w:right="480"/>
        </w:sectPr>
      </w:pPr>
    </w:p>
    <w:p>
      <w:pPr>
        <w:pStyle w:val="BodyText"/>
        <w:spacing w:before="3"/>
        <w:rPr>
          <w:rFonts w:ascii="Times New Roman"/>
          <w:sz w:val="20"/>
        </w:rPr>
      </w:pPr>
    </w:p>
    <w:p>
      <w:pPr>
        <w:pStyle w:val="Heading2"/>
        <w:spacing w:before="54"/>
        <w:ind w:left="1329" w:right="1329"/>
        <w:jc w:val="center"/>
        <w:rPr>
          <w:rFonts w:ascii="黑体" w:eastAsia="黑体" w:hint="eastAsia"/>
        </w:rPr>
      </w:pPr>
      <w:bookmarkStart w:name="_bookmark2" w:id="3"/>
      <w:bookmarkEnd w:id="3"/>
      <w:r>
        <w:rPr>
          <w:b w:val="0"/>
        </w:rPr>
      </w:r>
      <w:r>
        <w:rPr>
          <w:rFonts w:ascii="黑体" w:eastAsia="黑体" w:hint="eastAsia"/>
          <w:spacing w:val="-4"/>
        </w:rPr>
        <w:t>图 表 目 录</w:t>
      </w:r>
    </w:p>
    <w:p>
      <w:pPr>
        <w:tabs>
          <w:tab w:pos="9621" w:val="right" w:leader="dot"/>
        </w:tabs>
        <w:spacing w:before="461"/>
        <w:ind w:left="1740" w:right="0" w:firstLine="0"/>
        <w:jc w:val="left"/>
        <w:rPr>
          <w:rFonts w:ascii="Calibri" w:eastAsia="Calibri"/>
          <w:sz w:val="21"/>
        </w:rPr>
      </w:pPr>
      <w:hyperlink w:history="true" w:anchor="_bookmark28">
        <w:r>
          <w:rPr>
            <w:sz w:val="21"/>
          </w:rPr>
          <w:t>表</w:t>
        </w:r>
        <w:r>
          <w:rPr>
            <w:spacing w:val="-10"/>
            <w:sz w:val="21"/>
          </w:rPr>
          <w:t> </w:t>
        </w:r>
        <w:r>
          <w:rPr>
            <w:rFonts w:ascii="Times New Roman" w:eastAsia="Times New Roman"/>
            <w:sz w:val="21"/>
          </w:rPr>
          <w:t>1</w:t>
        </w:r>
        <w:r>
          <w:rPr>
            <w:rFonts w:ascii="Times New Roman" w:eastAsia="Times New Roman"/>
            <w:spacing w:val="42"/>
            <w:sz w:val="21"/>
          </w:rPr>
          <w:t> </w:t>
        </w:r>
        <w:r>
          <w:rPr>
            <w:sz w:val="21"/>
          </w:rPr>
          <w:t>数据资产价值评估</w:t>
        </w:r>
        <w:r>
          <w:rPr>
            <w:sz w:val="21"/>
          </w:rPr>
          <w:t>典</w:t>
        </w:r>
        <w:r>
          <w:rPr>
            <w:sz w:val="21"/>
          </w:rPr>
          <w:t>型方法</w:t>
        </w:r>
        <w:r>
          <w:rPr>
            <w:sz w:val="21"/>
          </w:rPr>
          <w:t>比</w:t>
        </w:r>
        <w:r>
          <w:rPr>
            <w:spacing w:val="-10"/>
            <w:sz w:val="21"/>
          </w:rPr>
          <w:t>较</w:t>
        </w:r>
        <w:r>
          <w:rPr>
            <w:rFonts w:ascii="Times New Roman" w:eastAsia="Times New Roman"/>
            <w:sz w:val="21"/>
          </w:rPr>
          <w:tab/>
        </w:r>
        <w:r>
          <w:rPr>
            <w:rFonts w:ascii="Calibri" w:eastAsia="Calibri"/>
            <w:spacing w:val="-5"/>
            <w:sz w:val="21"/>
          </w:rPr>
          <w:t>20</w:t>
        </w:r>
      </w:hyperlink>
    </w:p>
    <w:p>
      <w:pPr>
        <w:tabs>
          <w:tab w:pos="9621" w:val="right" w:leader="dot"/>
        </w:tabs>
        <w:spacing w:before="43"/>
        <w:ind w:left="1740" w:right="0" w:firstLine="0"/>
        <w:jc w:val="left"/>
        <w:rPr>
          <w:rFonts w:ascii="Calibri" w:eastAsia="Calibri"/>
          <w:sz w:val="21"/>
        </w:rPr>
      </w:pPr>
      <w:hyperlink w:history="true" w:anchor="_bookmark35">
        <w:r>
          <w:rPr>
            <w:sz w:val="21"/>
          </w:rPr>
          <w:t>表</w:t>
        </w:r>
        <w:r>
          <w:rPr>
            <w:spacing w:val="-10"/>
            <w:sz w:val="21"/>
          </w:rPr>
          <w:t> </w:t>
        </w:r>
        <w:r>
          <w:rPr>
            <w:rFonts w:ascii="Times New Roman" w:eastAsia="Times New Roman"/>
            <w:sz w:val="21"/>
          </w:rPr>
          <w:t>2</w:t>
        </w:r>
        <w:r>
          <w:rPr>
            <w:rFonts w:ascii="Times New Roman" w:eastAsia="Times New Roman"/>
            <w:spacing w:val="42"/>
            <w:sz w:val="21"/>
          </w:rPr>
          <w:t> </w:t>
        </w:r>
        <w:r>
          <w:rPr>
            <w:sz w:val="21"/>
          </w:rPr>
          <w:t>数据资产管理组织</w:t>
        </w:r>
        <w:r>
          <w:rPr>
            <w:sz w:val="21"/>
          </w:rPr>
          <w:t>架</w:t>
        </w:r>
        <w:r>
          <w:rPr>
            <w:sz w:val="21"/>
          </w:rPr>
          <w:t>构角色</w:t>
        </w:r>
        <w:r>
          <w:rPr>
            <w:sz w:val="21"/>
          </w:rPr>
          <w:t>职</w:t>
        </w:r>
        <w:r>
          <w:rPr>
            <w:spacing w:val="-10"/>
            <w:sz w:val="21"/>
          </w:rPr>
          <w:t>责</w:t>
        </w:r>
        <w:r>
          <w:rPr>
            <w:rFonts w:ascii="Times New Roman" w:eastAsia="Times New Roman"/>
            <w:sz w:val="21"/>
          </w:rPr>
          <w:tab/>
        </w:r>
        <w:r>
          <w:rPr>
            <w:rFonts w:ascii="Calibri" w:eastAsia="Calibri"/>
            <w:spacing w:val="-5"/>
            <w:sz w:val="21"/>
          </w:rPr>
          <w:t>25</w:t>
        </w:r>
      </w:hyperlink>
    </w:p>
    <w:p>
      <w:pPr>
        <w:tabs>
          <w:tab w:pos="9621" w:val="right" w:leader="dot"/>
        </w:tabs>
        <w:spacing w:before="43"/>
        <w:ind w:left="1740" w:right="0" w:firstLine="0"/>
        <w:jc w:val="left"/>
        <w:rPr>
          <w:rFonts w:ascii="Calibri" w:eastAsia="Calibri"/>
          <w:sz w:val="21"/>
        </w:rPr>
      </w:pPr>
      <w:hyperlink w:history="true" w:anchor="_bookmark49">
        <w:r>
          <w:rPr>
            <w:sz w:val="21"/>
          </w:rPr>
          <w:t>表</w:t>
        </w:r>
        <w:r>
          <w:rPr>
            <w:spacing w:val="-14"/>
            <w:sz w:val="21"/>
          </w:rPr>
          <w:t> </w:t>
        </w:r>
        <w:r>
          <w:rPr>
            <w:rFonts w:ascii="Times New Roman" w:eastAsia="Times New Roman"/>
            <w:sz w:val="21"/>
          </w:rPr>
          <w:t>3</w:t>
        </w:r>
        <w:r>
          <w:rPr>
            <w:rFonts w:ascii="Times New Roman" w:eastAsia="Times New Roman"/>
            <w:spacing w:val="38"/>
            <w:sz w:val="21"/>
          </w:rPr>
          <w:t> </w:t>
        </w:r>
        <w:r>
          <w:rPr>
            <w:sz w:val="21"/>
          </w:rPr>
          <w:t>不同组织方式的数</w:t>
        </w:r>
        <w:r>
          <w:rPr>
            <w:sz w:val="21"/>
          </w:rPr>
          <w:t>据</w:t>
        </w:r>
        <w:r>
          <w:rPr>
            <w:sz w:val="21"/>
          </w:rPr>
          <w:t>资产管理典型实践模</w:t>
        </w:r>
        <w:r>
          <w:rPr>
            <w:spacing w:val="-10"/>
            <w:sz w:val="21"/>
          </w:rPr>
          <w:t>式</w:t>
        </w:r>
        <w:r>
          <w:rPr>
            <w:rFonts w:ascii="Times New Roman" w:eastAsia="Times New Roman"/>
            <w:sz w:val="21"/>
          </w:rPr>
          <w:tab/>
        </w:r>
        <w:r>
          <w:rPr>
            <w:rFonts w:ascii="Calibri" w:eastAsia="Calibri"/>
            <w:spacing w:val="-5"/>
            <w:sz w:val="21"/>
          </w:rPr>
          <w:t>34</w:t>
        </w:r>
      </w:hyperlink>
    </w:p>
    <w:p>
      <w:pPr>
        <w:tabs>
          <w:tab w:pos="9621" w:val="right" w:leader="dot"/>
        </w:tabs>
        <w:spacing w:before="43"/>
        <w:ind w:left="1740" w:right="0" w:firstLine="0"/>
        <w:jc w:val="left"/>
        <w:rPr>
          <w:rFonts w:ascii="Calibri" w:eastAsia="Calibri"/>
          <w:sz w:val="21"/>
        </w:rPr>
      </w:pPr>
      <w:hyperlink w:history="true" w:anchor="_bookmark50">
        <w:r>
          <w:rPr>
            <w:sz w:val="21"/>
          </w:rPr>
          <w:t>表</w:t>
        </w:r>
        <w:r>
          <w:rPr>
            <w:spacing w:val="-16"/>
            <w:sz w:val="21"/>
          </w:rPr>
          <w:t> </w:t>
        </w:r>
        <w:r>
          <w:rPr>
            <w:rFonts w:ascii="Times New Roman" w:eastAsia="Times New Roman"/>
            <w:sz w:val="21"/>
          </w:rPr>
          <w:t>4</w:t>
        </w:r>
        <w:r>
          <w:rPr>
            <w:rFonts w:ascii="Times New Roman" w:eastAsia="Times New Roman"/>
            <w:spacing w:val="37"/>
            <w:sz w:val="21"/>
          </w:rPr>
          <w:t> </w:t>
        </w:r>
        <w:r>
          <w:rPr>
            <w:sz w:val="21"/>
          </w:rPr>
          <w:t>不同建设策略的数</w:t>
        </w:r>
        <w:r>
          <w:rPr>
            <w:sz w:val="21"/>
          </w:rPr>
          <w:t>据</w:t>
        </w:r>
        <w:r>
          <w:rPr>
            <w:sz w:val="21"/>
          </w:rPr>
          <w:t>资产管理典型实践模</w:t>
        </w:r>
        <w:r>
          <w:rPr>
            <w:spacing w:val="-10"/>
            <w:sz w:val="21"/>
          </w:rPr>
          <w:t>式</w:t>
        </w:r>
        <w:r>
          <w:rPr>
            <w:rFonts w:ascii="Times New Roman" w:eastAsia="Times New Roman"/>
            <w:sz w:val="21"/>
          </w:rPr>
          <w:tab/>
        </w:r>
        <w:r>
          <w:rPr>
            <w:rFonts w:ascii="Calibri" w:eastAsia="Calibri"/>
            <w:spacing w:val="-5"/>
            <w:sz w:val="21"/>
          </w:rPr>
          <w:t>34</w:t>
        </w:r>
      </w:hyperlink>
    </w:p>
    <w:p>
      <w:pPr>
        <w:tabs>
          <w:tab w:pos="9620" w:val="right" w:leader="dot"/>
        </w:tabs>
        <w:spacing w:before="355"/>
        <w:ind w:left="1740" w:right="0" w:firstLine="0"/>
        <w:jc w:val="left"/>
        <w:rPr>
          <w:rFonts w:ascii="Calibri" w:eastAsia="Calibri"/>
          <w:sz w:val="21"/>
        </w:rPr>
      </w:pPr>
      <w:hyperlink w:history="true" w:anchor="_bookmark7">
        <w:r>
          <w:rPr>
            <w:sz w:val="21"/>
          </w:rPr>
          <w:t>图</w:t>
        </w:r>
        <w:r>
          <w:rPr>
            <w:spacing w:val="-11"/>
            <w:sz w:val="21"/>
          </w:rPr>
          <w:t> </w:t>
        </w:r>
        <w:r>
          <w:rPr>
            <w:rFonts w:ascii="Times New Roman" w:eastAsia="Times New Roman"/>
            <w:sz w:val="21"/>
          </w:rPr>
          <w:t>1</w:t>
        </w:r>
        <w:r>
          <w:rPr>
            <w:rFonts w:ascii="Times New Roman" w:eastAsia="Times New Roman"/>
            <w:spacing w:val="40"/>
            <w:sz w:val="21"/>
          </w:rPr>
          <w:t> </w:t>
        </w:r>
        <w:r>
          <w:rPr>
            <w:sz w:val="21"/>
          </w:rPr>
          <w:t>数据资产管理在大</w:t>
        </w:r>
        <w:r>
          <w:rPr>
            <w:sz w:val="21"/>
          </w:rPr>
          <w:t>数</w:t>
        </w:r>
        <w:r>
          <w:rPr>
            <w:sz w:val="21"/>
          </w:rPr>
          <w:t>据体系中的</w:t>
        </w:r>
        <w:r>
          <w:rPr>
            <w:sz w:val="21"/>
          </w:rPr>
          <w:t>定</w:t>
        </w:r>
        <w:r>
          <w:rPr>
            <w:spacing w:val="-10"/>
            <w:sz w:val="21"/>
          </w:rPr>
          <w:t>位</w:t>
        </w:r>
        <w:r>
          <w:rPr>
            <w:rFonts w:ascii="Times New Roman" w:eastAsia="Times New Roman"/>
            <w:sz w:val="21"/>
          </w:rPr>
          <w:tab/>
        </w:r>
        <w:r>
          <w:rPr>
            <w:rFonts w:ascii="Calibri" w:eastAsia="Calibri"/>
            <w:spacing w:val="-10"/>
            <w:sz w:val="21"/>
          </w:rPr>
          <w:t>2</w:t>
        </w:r>
      </w:hyperlink>
    </w:p>
    <w:p>
      <w:pPr>
        <w:tabs>
          <w:tab w:pos="9620" w:val="right" w:leader="dot"/>
        </w:tabs>
        <w:spacing w:before="43"/>
        <w:ind w:left="1740" w:right="0" w:firstLine="0"/>
        <w:jc w:val="left"/>
        <w:rPr>
          <w:rFonts w:ascii="Calibri" w:eastAsia="Calibri"/>
          <w:sz w:val="21"/>
        </w:rPr>
      </w:pPr>
      <w:hyperlink w:history="true" w:anchor="_bookmark12">
        <w:r>
          <w:rPr>
            <w:sz w:val="21"/>
          </w:rPr>
          <w:t>图</w:t>
        </w:r>
        <w:r>
          <w:rPr>
            <w:spacing w:val="-15"/>
            <w:sz w:val="21"/>
          </w:rPr>
          <w:t> </w:t>
        </w:r>
        <w:r>
          <w:rPr>
            <w:rFonts w:ascii="Times New Roman" w:eastAsia="Times New Roman"/>
            <w:sz w:val="21"/>
          </w:rPr>
          <w:t>2</w:t>
        </w:r>
        <w:r>
          <w:rPr>
            <w:rFonts w:ascii="Times New Roman" w:eastAsia="Times New Roman"/>
            <w:spacing w:val="39"/>
            <w:sz w:val="21"/>
          </w:rPr>
          <w:t> </w:t>
        </w:r>
        <w:r>
          <w:rPr>
            <w:sz w:val="21"/>
          </w:rPr>
          <w:t>大数据背景下的数</w:t>
        </w:r>
        <w:r>
          <w:rPr>
            <w:sz w:val="21"/>
          </w:rPr>
          <w:t>据</w:t>
        </w:r>
        <w:r>
          <w:rPr>
            <w:sz w:val="21"/>
          </w:rPr>
          <w:t>资产管理特点特</w:t>
        </w:r>
        <w:r>
          <w:rPr>
            <w:spacing w:val="-10"/>
            <w:sz w:val="21"/>
          </w:rPr>
          <w:t>征</w:t>
        </w:r>
        <w:r>
          <w:rPr>
            <w:rFonts w:ascii="Times New Roman" w:eastAsia="Times New Roman"/>
            <w:sz w:val="21"/>
          </w:rPr>
          <w:tab/>
        </w:r>
        <w:r>
          <w:rPr>
            <w:rFonts w:ascii="Calibri" w:eastAsia="Calibri"/>
            <w:spacing w:val="-10"/>
            <w:sz w:val="21"/>
          </w:rPr>
          <w:t>9</w:t>
        </w:r>
      </w:hyperlink>
    </w:p>
    <w:p>
      <w:pPr>
        <w:tabs>
          <w:tab w:pos="9621" w:val="right" w:leader="dot"/>
        </w:tabs>
        <w:spacing w:before="43"/>
        <w:ind w:left="1740" w:right="0" w:firstLine="0"/>
        <w:jc w:val="left"/>
        <w:rPr>
          <w:rFonts w:ascii="Calibri" w:eastAsia="Calibri"/>
          <w:sz w:val="21"/>
        </w:rPr>
      </w:pPr>
      <w:hyperlink w:history="true" w:anchor="_bookmark19">
        <w:r>
          <w:rPr>
            <w:sz w:val="21"/>
          </w:rPr>
          <w:t>图</w:t>
        </w:r>
        <w:r>
          <w:rPr>
            <w:spacing w:val="-8"/>
            <w:sz w:val="21"/>
          </w:rPr>
          <w:t> </w:t>
        </w:r>
        <w:r>
          <w:rPr>
            <w:rFonts w:ascii="Times New Roman" w:eastAsia="Times New Roman"/>
            <w:sz w:val="21"/>
          </w:rPr>
          <w:t>3</w:t>
        </w:r>
        <w:r>
          <w:rPr>
            <w:rFonts w:ascii="Times New Roman" w:eastAsia="Times New Roman"/>
            <w:spacing w:val="43"/>
            <w:sz w:val="21"/>
          </w:rPr>
          <w:t> </w:t>
        </w:r>
        <w:r>
          <w:rPr>
            <w:sz w:val="21"/>
          </w:rPr>
          <w:t>数据资产管理体系</w:t>
        </w:r>
        <w:r>
          <w:rPr>
            <w:sz w:val="21"/>
          </w:rPr>
          <w:t>架</w:t>
        </w:r>
        <w:r>
          <w:rPr>
            <w:spacing w:val="-10"/>
            <w:sz w:val="21"/>
          </w:rPr>
          <w:t>构</w:t>
        </w:r>
        <w:r>
          <w:rPr>
            <w:rFonts w:ascii="Times New Roman" w:eastAsia="Times New Roman"/>
            <w:sz w:val="21"/>
          </w:rPr>
          <w:tab/>
        </w:r>
        <w:r>
          <w:rPr>
            <w:rFonts w:ascii="Calibri" w:eastAsia="Calibri"/>
            <w:spacing w:val="-5"/>
            <w:sz w:val="21"/>
          </w:rPr>
          <w:t>12</w:t>
        </w:r>
      </w:hyperlink>
    </w:p>
    <w:p>
      <w:pPr>
        <w:tabs>
          <w:tab w:pos="9621" w:val="right" w:leader="dot"/>
        </w:tabs>
        <w:spacing w:before="43"/>
        <w:ind w:left="1740" w:right="0" w:firstLine="0"/>
        <w:jc w:val="left"/>
        <w:rPr>
          <w:rFonts w:ascii="Calibri" w:eastAsia="Calibri"/>
          <w:sz w:val="21"/>
        </w:rPr>
      </w:pPr>
      <w:hyperlink w:history="true" w:anchor="_bookmark30">
        <w:r>
          <w:rPr>
            <w:sz w:val="21"/>
          </w:rPr>
          <w:t>图</w:t>
        </w:r>
        <w:r>
          <w:rPr>
            <w:spacing w:val="-10"/>
            <w:sz w:val="21"/>
          </w:rPr>
          <w:t> </w:t>
        </w:r>
        <w:r>
          <w:rPr>
            <w:rFonts w:ascii="Times New Roman" w:eastAsia="Times New Roman"/>
            <w:sz w:val="21"/>
          </w:rPr>
          <w:t>4</w:t>
        </w:r>
        <w:r>
          <w:rPr>
            <w:rFonts w:ascii="Times New Roman" w:eastAsia="Times New Roman"/>
            <w:spacing w:val="42"/>
            <w:sz w:val="21"/>
          </w:rPr>
          <w:t> </w:t>
        </w:r>
        <w:r>
          <w:rPr>
            <w:sz w:val="21"/>
          </w:rPr>
          <w:t>数据资产管理内容</w:t>
        </w:r>
        <w:r>
          <w:rPr>
            <w:sz w:val="21"/>
          </w:rPr>
          <w:t>之</w:t>
        </w:r>
        <w:r>
          <w:rPr>
            <w:sz w:val="21"/>
          </w:rPr>
          <w:t>间的关</w:t>
        </w:r>
        <w:r>
          <w:rPr>
            <w:spacing w:val="-10"/>
            <w:sz w:val="21"/>
          </w:rPr>
          <w:t>系</w:t>
        </w:r>
        <w:r>
          <w:rPr>
            <w:rFonts w:ascii="Times New Roman" w:eastAsia="Times New Roman"/>
            <w:sz w:val="21"/>
          </w:rPr>
          <w:tab/>
        </w:r>
        <w:r>
          <w:rPr>
            <w:rFonts w:ascii="Calibri" w:eastAsia="Calibri"/>
            <w:spacing w:val="-5"/>
            <w:sz w:val="21"/>
          </w:rPr>
          <w:t>22</w:t>
        </w:r>
      </w:hyperlink>
    </w:p>
    <w:p>
      <w:pPr>
        <w:tabs>
          <w:tab w:pos="9621" w:val="right" w:leader="dot"/>
        </w:tabs>
        <w:spacing w:before="43"/>
        <w:ind w:left="1740" w:right="0" w:firstLine="0"/>
        <w:jc w:val="left"/>
        <w:rPr>
          <w:rFonts w:ascii="Calibri" w:eastAsia="Calibri"/>
          <w:sz w:val="21"/>
        </w:rPr>
      </w:pPr>
      <w:hyperlink w:history="true" w:anchor="_bookmark34">
        <w:r>
          <w:rPr>
            <w:sz w:val="21"/>
          </w:rPr>
          <w:t>图</w:t>
        </w:r>
        <w:r>
          <w:rPr>
            <w:spacing w:val="-10"/>
            <w:sz w:val="21"/>
          </w:rPr>
          <w:t> </w:t>
        </w:r>
        <w:r>
          <w:rPr>
            <w:rFonts w:ascii="Times New Roman" w:eastAsia="Times New Roman"/>
            <w:sz w:val="21"/>
          </w:rPr>
          <w:t>5</w:t>
        </w:r>
        <w:r>
          <w:rPr>
            <w:rFonts w:ascii="Times New Roman" w:eastAsia="Times New Roman"/>
            <w:spacing w:val="42"/>
            <w:sz w:val="21"/>
          </w:rPr>
          <w:t> </w:t>
        </w:r>
        <w:r>
          <w:rPr>
            <w:sz w:val="21"/>
          </w:rPr>
          <w:t>数据资产管理保障</w:t>
        </w:r>
        <w:r>
          <w:rPr>
            <w:sz w:val="21"/>
          </w:rPr>
          <w:t>措</w:t>
        </w:r>
        <w:r>
          <w:rPr>
            <w:sz w:val="21"/>
          </w:rPr>
          <w:t>施组织</w:t>
        </w:r>
        <w:r>
          <w:rPr>
            <w:sz w:val="21"/>
          </w:rPr>
          <w:t>架</w:t>
        </w:r>
        <w:r>
          <w:rPr>
            <w:spacing w:val="-10"/>
            <w:sz w:val="21"/>
          </w:rPr>
          <w:t>构</w:t>
        </w:r>
        <w:r>
          <w:rPr>
            <w:rFonts w:ascii="Times New Roman" w:eastAsia="Times New Roman"/>
            <w:sz w:val="21"/>
          </w:rPr>
          <w:tab/>
        </w:r>
        <w:r>
          <w:rPr>
            <w:rFonts w:ascii="Calibri" w:eastAsia="Calibri"/>
            <w:spacing w:val="-5"/>
            <w:sz w:val="21"/>
          </w:rPr>
          <w:t>24</w:t>
        </w:r>
      </w:hyperlink>
    </w:p>
    <w:p>
      <w:pPr>
        <w:tabs>
          <w:tab w:pos="9621" w:val="right" w:leader="dot"/>
        </w:tabs>
        <w:spacing w:before="43"/>
        <w:ind w:left="1740" w:right="0" w:firstLine="0"/>
        <w:jc w:val="left"/>
        <w:rPr>
          <w:rFonts w:ascii="Calibri" w:eastAsia="Calibri"/>
          <w:sz w:val="21"/>
        </w:rPr>
      </w:pPr>
      <w:hyperlink w:history="true" w:anchor="_bookmark36">
        <w:r>
          <w:rPr>
            <w:sz w:val="21"/>
          </w:rPr>
          <w:t>图</w:t>
        </w:r>
        <w:r>
          <w:rPr>
            <w:spacing w:val="-4"/>
            <w:sz w:val="21"/>
          </w:rPr>
          <w:t> </w:t>
        </w:r>
        <w:r>
          <w:rPr>
            <w:rFonts w:ascii="Times New Roman" w:eastAsia="Times New Roman"/>
            <w:sz w:val="21"/>
          </w:rPr>
          <w:t>6</w:t>
        </w:r>
        <w:r>
          <w:rPr>
            <w:rFonts w:ascii="Times New Roman" w:eastAsia="Times New Roman"/>
            <w:spacing w:val="48"/>
            <w:sz w:val="21"/>
          </w:rPr>
          <w:t> </w:t>
        </w:r>
        <w:r>
          <w:rPr>
            <w:sz w:val="21"/>
          </w:rPr>
          <w:t>数据认责</w:t>
        </w:r>
        <w:r>
          <w:rPr>
            <w:sz w:val="21"/>
          </w:rPr>
          <w:t>机</w:t>
        </w:r>
        <w:r>
          <w:rPr>
            <w:spacing w:val="-10"/>
            <w:sz w:val="21"/>
          </w:rPr>
          <w:t>制</w:t>
        </w:r>
        <w:r>
          <w:rPr>
            <w:rFonts w:ascii="Times New Roman" w:eastAsia="Times New Roman"/>
            <w:sz w:val="21"/>
          </w:rPr>
          <w:tab/>
        </w:r>
        <w:r>
          <w:rPr>
            <w:rFonts w:ascii="Calibri" w:eastAsia="Calibri"/>
            <w:spacing w:val="-5"/>
            <w:sz w:val="21"/>
          </w:rPr>
          <w:t>26</w:t>
        </w:r>
      </w:hyperlink>
    </w:p>
    <w:p>
      <w:pPr>
        <w:tabs>
          <w:tab w:pos="9621" w:val="right" w:leader="dot"/>
        </w:tabs>
        <w:spacing w:before="43"/>
        <w:ind w:left="1740" w:right="0" w:firstLine="0"/>
        <w:jc w:val="left"/>
        <w:rPr>
          <w:rFonts w:ascii="Calibri" w:eastAsia="Calibri"/>
          <w:sz w:val="21"/>
        </w:rPr>
      </w:pPr>
      <w:hyperlink w:history="true" w:anchor="_bookmark38">
        <w:r>
          <w:rPr>
            <w:sz w:val="21"/>
          </w:rPr>
          <w:t>图</w:t>
        </w:r>
        <w:r>
          <w:rPr>
            <w:spacing w:val="-8"/>
            <w:sz w:val="21"/>
          </w:rPr>
          <w:t> </w:t>
        </w:r>
        <w:r>
          <w:rPr>
            <w:rFonts w:ascii="Times New Roman" w:eastAsia="Times New Roman"/>
            <w:sz w:val="21"/>
          </w:rPr>
          <w:t>7</w:t>
        </w:r>
        <w:r>
          <w:rPr>
            <w:rFonts w:ascii="Times New Roman" w:eastAsia="Times New Roman"/>
            <w:spacing w:val="43"/>
            <w:sz w:val="21"/>
          </w:rPr>
          <w:t> </w:t>
        </w:r>
        <w:r>
          <w:rPr>
            <w:sz w:val="21"/>
          </w:rPr>
          <w:t>一种典型的制度体</w:t>
        </w:r>
        <w:r>
          <w:rPr>
            <w:sz w:val="21"/>
          </w:rPr>
          <w:t>系</w:t>
        </w:r>
        <w:r>
          <w:rPr>
            <w:sz w:val="21"/>
          </w:rPr>
          <w:t>架</w:t>
        </w:r>
        <w:r>
          <w:rPr>
            <w:spacing w:val="-10"/>
            <w:sz w:val="21"/>
          </w:rPr>
          <w:t>构</w:t>
        </w:r>
        <w:r>
          <w:rPr>
            <w:rFonts w:ascii="Times New Roman" w:eastAsia="Times New Roman"/>
            <w:sz w:val="21"/>
          </w:rPr>
          <w:tab/>
        </w:r>
        <w:r>
          <w:rPr>
            <w:rFonts w:ascii="Calibri" w:eastAsia="Calibri"/>
            <w:spacing w:val="-5"/>
            <w:sz w:val="21"/>
          </w:rPr>
          <w:t>27</w:t>
        </w:r>
      </w:hyperlink>
    </w:p>
    <w:p>
      <w:pPr>
        <w:tabs>
          <w:tab w:pos="9621" w:val="right" w:leader="dot"/>
        </w:tabs>
        <w:spacing w:before="43"/>
        <w:ind w:left="1740" w:right="0" w:firstLine="0"/>
        <w:jc w:val="left"/>
        <w:rPr>
          <w:rFonts w:ascii="Calibri" w:eastAsia="Calibri"/>
          <w:sz w:val="21"/>
        </w:rPr>
      </w:pPr>
      <w:hyperlink w:history="true" w:anchor="_bookmark43">
        <w:r>
          <w:rPr>
            <w:sz w:val="21"/>
          </w:rPr>
          <w:t>图</w:t>
        </w:r>
        <w:r>
          <w:rPr>
            <w:spacing w:val="-8"/>
            <w:sz w:val="21"/>
          </w:rPr>
          <w:t> </w:t>
        </w:r>
        <w:r>
          <w:rPr>
            <w:rFonts w:ascii="Times New Roman" w:eastAsia="Times New Roman"/>
            <w:sz w:val="21"/>
          </w:rPr>
          <w:t>8</w:t>
        </w:r>
        <w:r>
          <w:rPr>
            <w:rFonts w:ascii="Times New Roman" w:eastAsia="Times New Roman"/>
            <w:spacing w:val="43"/>
            <w:sz w:val="21"/>
          </w:rPr>
          <w:t> </w:t>
        </w:r>
        <w:r>
          <w:rPr>
            <w:sz w:val="21"/>
          </w:rPr>
          <w:t>数据资产管理实施</w:t>
        </w:r>
        <w:r>
          <w:rPr>
            <w:sz w:val="21"/>
          </w:rPr>
          <w:t>方</w:t>
        </w:r>
        <w:r>
          <w:rPr>
            <w:sz w:val="21"/>
          </w:rPr>
          <w:t>法</w:t>
        </w:r>
        <w:r>
          <w:rPr>
            <w:spacing w:val="-10"/>
            <w:sz w:val="21"/>
          </w:rPr>
          <w:t>论</w:t>
        </w:r>
        <w:r>
          <w:rPr>
            <w:rFonts w:ascii="Times New Roman" w:eastAsia="Times New Roman"/>
            <w:sz w:val="21"/>
          </w:rPr>
          <w:tab/>
        </w:r>
        <w:r>
          <w:rPr>
            <w:rFonts w:ascii="Calibri" w:eastAsia="Calibri"/>
            <w:spacing w:val="-5"/>
            <w:sz w:val="21"/>
          </w:rPr>
          <w:t>30</w:t>
        </w:r>
      </w:hyperlink>
    </w:p>
    <w:p>
      <w:pPr>
        <w:tabs>
          <w:tab w:pos="9621" w:val="right" w:leader="dot"/>
        </w:tabs>
        <w:spacing w:before="43"/>
        <w:ind w:left="1740" w:right="0" w:firstLine="0"/>
        <w:jc w:val="left"/>
        <w:rPr>
          <w:rFonts w:ascii="Calibri" w:eastAsia="Calibri"/>
          <w:sz w:val="21"/>
        </w:rPr>
      </w:pPr>
      <w:hyperlink w:history="true" w:anchor="_bookmark70">
        <w:r>
          <w:rPr>
            <w:sz w:val="21"/>
          </w:rPr>
          <w:t>图</w:t>
        </w:r>
        <w:r>
          <w:rPr>
            <w:spacing w:val="-4"/>
            <w:sz w:val="21"/>
          </w:rPr>
          <w:t> </w:t>
        </w:r>
        <w:r>
          <w:rPr>
            <w:rFonts w:ascii="Times New Roman" w:eastAsia="Times New Roman"/>
            <w:sz w:val="21"/>
          </w:rPr>
          <w:t>9</w:t>
        </w:r>
        <w:r>
          <w:rPr>
            <w:rFonts w:ascii="Times New Roman" w:eastAsia="Times New Roman"/>
            <w:spacing w:val="48"/>
            <w:sz w:val="21"/>
          </w:rPr>
          <w:t> </w:t>
        </w:r>
        <w:r>
          <w:rPr>
            <w:sz w:val="21"/>
          </w:rPr>
          <w:t>三段八步</w:t>
        </w:r>
        <w:r>
          <w:rPr>
            <w:spacing w:val="-10"/>
            <w:sz w:val="21"/>
          </w:rPr>
          <w:t>法</w:t>
        </w:r>
        <w:r>
          <w:rPr>
            <w:rFonts w:ascii="Times New Roman" w:eastAsia="Times New Roman"/>
            <w:sz w:val="21"/>
          </w:rPr>
          <w:tab/>
        </w:r>
        <w:r>
          <w:rPr>
            <w:rFonts w:ascii="Calibri" w:eastAsia="Calibri"/>
            <w:spacing w:val="-5"/>
            <w:sz w:val="21"/>
          </w:rPr>
          <w:t>61</w:t>
        </w:r>
      </w:hyperlink>
    </w:p>
    <w:p>
      <w:pPr>
        <w:tabs>
          <w:tab w:pos="9621" w:val="right" w:leader="dot"/>
        </w:tabs>
        <w:spacing w:before="43"/>
        <w:ind w:left="1740" w:right="0" w:firstLine="0"/>
        <w:jc w:val="left"/>
        <w:rPr>
          <w:rFonts w:ascii="Calibri" w:eastAsia="Calibri"/>
          <w:sz w:val="21"/>
        </w:rPr>
      </w:pPr>
      <w:hyperlink w:history="true" w:anchor="_bookmark75">
        <w:r>
          <w:rPr>
            <w:sz w:val="21"/>
          </w:rPr>
          <w:t>图</w:t>
        </w:r>
        <w:r>
          <w:rPr>
            <w:spacing w:val="-12"/>
            <w:sz w:val="21"/>
          </w:rPr>
          <w:t> </w:t>
        </w:r>
        <w:r>
          <w:rPr>
            <w:rFonts w:ascii="Times New Roman" w:eastAsia="Times New Roman"/>
            <w:sz w:val="21"/>
          </w:rPr>
          <w:t>10</w:t>
        </w:r>
        <w:r>
          <w:rPr>
            <w:rFonts w:ascii="Times New Roman" w:eastAsia="Times New Roman"/>
            <w:spacing w:val="42"/>
            <w:sz w:val="21"/>
          </w:rPr>
          <w:t> </w:t>
        </w:r>
        <w:r>
          <w:rPr>
            <w:sz w:val="21"/>
          </w:rPr>
          <w:t>某省政务大数据资</w:t>
        </w:r>
        <w:r>
          <w:rPr>
            <w:sz w:val="21"/>
          </w:rPr>
          <w:t>产汇聚架构</w:t>
        </w:r>
        <w:r>
          <w:rPr>
            <w:spacing w:val="-10"/>
            <w:sz w:val="21"/>
          </w:rPr>
          <w:t>图</w:t>
        </w:r>
        <w:r>
          <w:rPr>
            <w:rFonts w:ascii="Times New Roman" w:eastAsia="Times New Roman"/>
            <w:sz w:val="21"/>
          </w:rPr>
          <w:tab/>
        </w:r>
        <w:r>
          <w:rPr>
            <w:rFonts w:ascii="Calibri" w:eastAsia="Calibri"/>
            <w:spacing w:val="-5"/>
            <w:sz w:val="21"/>
          </w:rPr>
          <w:t>80</w:t>
        </w:r>
      </w:hyperlink>
    </w:p>
    <w:p>
      <w:pPr>
        <w:tabs>
          <w:tab w:pos="9621" w:val="right" w:leader="dot"/>
        </w:tabs>
        <w:spacing w:before="43"/>
        <w:ind w:left="1740" w:right="0" w:firstLine="0"/>
        <w:jc w:val="left"/>
        <w:rPr>
          <w:rFonts w:ascii="Calibri" w:eastAsia="Calibri"/>
          <w:sz w:val="21"/>
        </w:rPr>
      </w:pPr>
      <w:hyperlink w:history="true" w:anchor="_bookmark76">
        <w:r>
          <w:rPr>
            <w:sz w:val="21"/>
          </w:rPr>
          <w:t>图</w:t>
        </w:r>
        <w:r>
          <w:rPr>
            <w:spacing w:val="-14"/>
            <w:sz w:val="21"/>
          </w:rPr>
          <w:t> </w:t>
        </w:r>
        <w:r>
          <w:rPr>
            <w:rFonts w:ascii="Times New Roman" w:eastAsia="Times New Roman"/>
            <w:sz w:val="21"/>
          </w:rPr>
          <w:t>11</w:t>
        </w:r>
        <w:r>
          <w:rPr>
            <w:rFonts w:ascii="Times New Roman" w:eastAsia="Times New Roman"/>
            <w:spacing w:val="38"/>
            <w:sz w:val="21"/>
          </w:rPr>
          <w:t> </w:t>
        </w:r>
        <w:r>
          <w:rPr>
            <w:sz w:val="21"/>
          </w:rPr>
          <w:t>某省政务数据汇</w:t>
        </w:r>
        <w:r>
          <w:rPr>
            <w:sz w:val="21"/>
          </w:rPr>
          <w:t>聚</w:t>
        </w:r>
        <w:r>
          <w:rPr>
            <w:sz w:val="21"/>
          </w:rPr>
          <w:t>主题模</w:t>
        </w:r>
        <w:r>
          <w:rPr>
            <w:spacing w:val="-10"/>
            <w:sz w:val="21"/>
          </w:rPr>
          <w:t>型</w:t>
        </w:r>
        <w:r>
          <w:rPr>
            <w:rFonts w:ascii="Times New Roman" w:eastAsia="Times New Roman"/>
            <w:sz w:val="21"/>
          </w:rPr>
          <w:tab/>
        </w:r>
        <w:r>
          <w:rPr>
            <w:rFonts w:ascii="Calibri" w:eastAsia="Calibri"/>
            <w:spacing w:val="-5"/>
            <w:sz w:val="21"/>
          </w:rPr>
          <w:t>80</w:t>
        </w:r>
      </w:hyperlink>
    </w:p>
    <w:p>
      <w:pPr>
        <w:tabs>
          <w:tab w:pos="9621" w:val="right" w:leader="dot"/>
        </w:tabs>
        <w:spacing w:before="43"/>
        <w:ind w:left="1740" w:right="0" w:firstLine="0"/>
        <w:jc w:val="left"/>
        <w:rPr>
          <w:rFonts w:ascii="Calibri" w:eastAsia="Calibri"/>
          <w:sz w:val="21"/>
        </w:rPr>
      </w:pPr>
      <w:hyperlink w:history="true" w:anchor="_bookmark77">
        <w:r>
          <w:rPr>
            <w:sz w:val="21"/>
          </w:rPr>
          <w:t>图</w:t>
        </w:r>
        <w:r>
          <w:rPr>
            <w:spacing w:val="-10"/>
            <w:sz w:val="21"/>
          </w:rPr>
          <w:t> </w:t>
        </w:r>
        <w:r>
          <w:rPr>
            <w:rFonts w:ascii="Times New Roman" w:eastAsia="Times New Roman"/>
            <w:sz w:val="21"/>
          </w:rPr>
          <w:t>12</w:t>
        </w:r>
        <w:r>
          <w:rPr>
            <w:rFonts w:ascii="Times New Roman" w:eastAsia="Times New Roman"/>
            <w:spacing w:val="43"/>
            <w:sz w:val="21"/>
          </w:rPr>
          <w:t> </w:t>
        </w:r>
        <w:r>
          <w:rPr>
            <w:sz w:val="21"/>
          </w:rPr>
          <w:t>某省政务数据资产</w:t>
        </w:r>
        <w:r>
          <w:rPr>
            <w:sz w:val="21"/>
          </w:rPr>
          <w:t>治理架</w:t>
        </w:r>
        <w:r>
          <w:rPr>
            <w:sz w:val="21"/>
          </w:rPr>
          <w:t>构</w:t>
        </w:r>
        <w:r>
          <w:rPr>
            <w:spacing w:val="-10"/>
            <w:sz w:val="21"/>
          </w:rPr>
          <w:t>图</w:t>
        </w:r>
        <w:r>
          <w:rPr>
            <w:rFonts w:ascii="Times New Roman" w:eastAsia="Times New Roman"/>
            <w:sz w:val="21"/>
          </w:rPr>
          <w:tab/>
        </w:r>
        <w:r>
          <w:rPr>
            <w:rFonts w:ascii="Calibri" w:eastAsia="Calibri"/>
            <w:spacing w:val="-5"/>
            <w:sz w:val="21"/>
          </w:rPr>
          <w:t>81</w:t>
        </w:r>
      </w:hyperlink>
    </w:p>
    <w:p>
      <w:pPr>
        <w:tabs>
          <w:tab w:pos="9621" w:val="right" w:leader="dot"/>
        </w:tabs>
        <w:spacing w:before="43"/>
        <w:ind w:left="1740" w:right="0" w:firstLine="0"/>
        <w:jc w:val="left"/>
        <w:rPr>
          <w:rFonts w:ascii="Calibri" w:eastAsia="Calibri"/>
          <w:sz w:val="21"/>
        </w:rPr>
      </w:pPr>
      <w:hyperlink w:history="true" w:anchor="_bookmark78">
        <w:r>
          <w:rPr>
            <w:sz w:val="21"/>
          </w:rPr>
          <w:t>图</w:t>
        </w:r>
        <w:r>
          <w:rPr>
            <w:spacing w:val="-10"/>
            <w:sz w:val="21"/>
          </w:rPr>
          <w:t> </w:t>
        </w:r>
        <w:r>
          <w:rPr>
            <w:rFonts w:ascii="Times New Roman" w:eastAsia="Times New Roman"/>
            <w:sz w:val="21"/>
          </w:rPr>
          <w:t>13</w:t>
        </w:r>
        <w:r>
          <w:rPr>
            <w:rFonts w:ascii="Times New Roman" w:eastAsia="Times New Roman"/>
            <w:spacing w:val="43"/>
            <w:sz w:val="21"/>
          </w:rPr>
          <w:t> </w:t>
        </w:r>
        <w:r>
          <w:rPr>
            <w:sz w:val="21"/>
          </w:rPr>
          <w:t>某省政务数据资产</w:t>
        </w:r>
        <w:r>
          <w:rPr>
            <w:sz w:val="21"/>
          </w:rPr>
          <w:t>应用架</w:t>
        </w:r>
        <w:r>
          <w:rPr>
            <w:sz w:val="21"/>
          </w:rPr>
          <w:t>构</w:t>
        </w:r>
        <w:r>
          <w:rPr>
            <w:spacing w:val="-10"/>
            <w:sz w:val="21"/>
          </w:rPr>
          <w:t>图</w:t>
        </w:r>
        <w:r>
          <w:rPr>
            <w:rFonts w:ascii="Times New Roman" w:eastAsia="Times New Roman"/>
            <w:sz w:val="21"/>
          </w:rPr>
          <w:tab/>
        </w:r>
        <w:r>
          <w:rPr>
            <w:rFonts w:ascii="Calibri" w:eastAsia="Calibri"/>
            <w:spacing w:val="-5"/>
            <w:sz w:val="21"/>
          </w:rPr>
          <w:t>82</w:t>
        </w:r>
      </w:hyperlink>
    </w:p>
    <w:p>
      <w:pPr>
        <w:tabs>
          <w:tab w:pos="9621" w:val="right" w:leader="dot"/>
        </w:tabs>
        <w:spacing w:before="43"/>
        <w:ind w:left="1740" w:right="0" w:firstLine="0"/>
        <w:jc w:val="left"/>
        <w:rPr>
          <w:rFonts w:ascii="Calibri" w:eastAsia="Calibri"/>
          <w:sz w:val="21"/>
        </w:rPr>
      </w:pPr>
      <w:hyperlink w:history="true" w:anchor="_bookmark81">
        <w:r>
          <w:rPr>
            <w:sz w:val="21"/>
          </w:rPr>
          <w:t>图</w:t>
        </w:r>
        <w:r>
          <w:rPr>
            <w:spacing w:val="-9"/>
            <w:sz w:val="21"/>
          </w:rPr>
          <w:t> </w:t>
        </w:r>
        <w:r>
          <w:rPr>
            <w:rFonts w:ascii="Times New Roman" w:eastAsia="Times New Roman"/>
            <w:sz w:val="21"/>
          </w:rPr>
          <w:t>14</w:t>
        </w:r>
        <w:r>
          <w:rPr>
            <w:rFonts w:ascii="Times New Roman" w:eastAsia="Times New Roman"/>
            <w:spacing w:val="45"/>
            <w:sz w:val="21"/>
          </w:rPr>
          <w:t> </w:t>
        </w:r>
        <w:r>
          <w:rPr>
            <w:sz w:val="21"/>
          </w:rPr>
          <w:t>数据资产管理流程</w:t>
        </w:r>
        <w:r>
          <w:rPr>
            <w:spacing w:val="-10"/>
            <w:sz w:val="21"/>
          </w:rPr>
          <w:t>图</w:t>
        </w:r>
        <w:r>
          <w:rPr>
            <w:rFonts w:ascii="Times New Roman" w:eastAsia="Times New Roman"/>
            <w:sz w:val="21"/>
          </w:rPr>
          <w:tab/>
        </w:r>
        <w:r>
          <w:rPr>
            <w:rFonts w:ascii="Calibri" w:eastAsia="Calibri"/>
            <w:spacing w:val="-5"/>
            <w:sz w:val="21"/>
          </w:rPr>
          <w:t>91</w:t>
        </w:r>
      </w:hyperlink>
    </w:p>
    <w:p>
      <w:pPr>
        <w:tabs>
          <w:tab w:pos="9621" w:val="right" w:leader="dot"/>
        </w:tabs>
        <w:spacing w:before="43"/>
        <w:ind w:left="1740" w:right="0" w:firstLine="0"/>
        <w:jc w:val="left"/>
        <w:rPr>
          <w:rFonts w:ascii="Calibri" w:eastAsia="Calibri"/>
          <w:sz w:val="21"/>
        </w:rPr>
      </w:pPr>
      <w:hyperlink w:history="true" w:anchor="_bookmark82">
        <w:r>
          <w:rPr>
            <w:sz w:val="21"/>
          </w:rPr>
          <w:t>图</w:t>
        </w:r>
        <w:r>
          <w:rPr>
            <w:spacing w:val="-5"/>
            <w:sz w:val="21"/>
          </w:rPr>
          <w:t> </w:t>
        </w:r>
        <w:r>
          <w:rPr>
            <w:rFonts w:ascii="Times New Roman" w:eastAsia="Times New Roman"/>
            <w:sz w:val="21"/>
          </w:rPr>
          <w:t>15</w:t>
        </w:r>
        <w:r>
          <w:rPr>
            <w:rFonts w:ascii="Times New Roman" w:eastAsia="Times New Roman"/>
            <w:spacing w:val="46"/>
            <w:sz w:val="21"/>
          </w:rPr>
          <w:t> </w:t>
        </w:r>
        <w:r>
          <w:rPr>
            <w:sz w:val="21"/>
          </w:rPr>
          <w:t>多元化数据集</w:t>
        </w:r>
        <w:r>
          <w:rPr>
            <w:spacing w:val="-10"/>
            <w:sz w:val="21"/>
          </w:rPr>
          <w:t>成</w:t>
        </w:r>
        <w:r>
          <w:rPr>
            <w:rFonts w:ascii="Times New Roman" w:eastAsia="Times New Roman"/>
            <w:sz w:val="21"/>
          </w:rPr>
          <w:tab/>
        </w:r>
        <w:r>
          <w:rPr>
            <w:rFonts w:ascii="Calibri" w:eastAsia="Calibri"/>
            <w:spacing w:val="-5"/>
            <w:sz w:val="21"/>
          </w:rPr>
          <w:t>91</w:t>
        </w:r>
      </w:hyperlink>
    </w:p>
    <w:p>
      <w:pPr>
        <w:tabs>
          <w:tab w:pos="9621" w:val="right" w:leader="dot"/>
        </w:tabs>
        <w:spacing w:before="43"/>
        <w:ind w:left="1740" w:right="0" w:firstLine="0"/>
        <w:jc w:val="left"/>
        <w:rPr>
          <w:rFonts w:ascii="Calibri" w:eastAsia="Calibri"/>
          <w:sz w:val="21"/>
        </w:rPr>
      </w:pPr>
      <w:hyperlink w:history="true" w:anchor="_bookmark83">
        <w:r>
          <w:rPr>
            <w:sz w:val="21"/>
          </w:rPr>
          <w:t>图</w:t>
        </w:r>
        <w:r>
          <w:rPr>
            <w:spacing w:val="-9"/>
            <w:sz w:val="21"/>
          </w:rPr>
          <w:t> </w:t>
        </w:r>
        <w:r>
          <w:rPr>
            <w:rFonts w:ascii="Times New Roman" w:eastAsia="Times New Roman"/>
            <w:sz w:val="21"/>
          </w:rPr>
          <w:t>16</w:t>
        </w:r>
        <w:r>
          <w:rPr>
            <w:rFonts w:ascii="Times New Roman" w:eastAsia="Times New Roman"/>
            <w:spacing w:val="45"/>
            <w:sz w:val="21"/>
          </w:rPr>
          <w:t> </w:t>
        </w:r>
        <w:r>
          <w:rPr>
            <w:sz w:val="21"/>
          </w:rPr>
          <w:t>原始检测数据实时</w:t>
        </w:r>
        <w:r>
          <w:rPr>
            <w:sz w:val="21"/>
          </w:rPr>
          <w:t>采</w:t>
        </w:r>
        <w:r>
          <w:rPr>
            <w:spacing w:val="-12"/>
            <w:sz w:val="21"/>
          </w:rPr>
          <w:t>集</w:t>
        </w:r>
        <w:r>
          <w:rPr>
            <w:rFonts w:ascii="Times New Roman" w:eastAsia="Times New Roman"/>
            <w:sz w:val="21"/>
          </w:rPr>
          <w:tab/>
        </w:r>
        <w:r>
          <w:rPr>
            <w:rFonts w:ascii="Calibri" w:eastAsia="Calibri"/>
            <w:spacing w:val="-5"/>
            <w:sz w:val="21"/>
          </w:rPr>
          <w:t>92</w:t>
        </w:r>
      </w:hyperlink>
    </w:p>
    <w:p>
      <w:pPr>
        <w:tabs>
          <w:tab w:pos="9621" w:val="right" w:leader="dot"/>
        </w:tabs>
        <w:spacing w:before="43"/>
        <w:ind w:left="1740" w:right="0" w:firstLine="0"/>
        <w:jc w:val="left"/>
        <w:rPr>
          <w:rFonts w:ascii="Calibri" w:eastAsia="Calibri"/>
          <w:sz w:val="21"/>
        </w:rPr>
      </w:pPr>
      <w:hyperlink w:history="true" w:anchor="_bookmark84">
        <w:r>
          <w:rPr>
            <w:sz w:val="21"/>
          </w:rPr>
          <w:t>图</w:t>
        </w:r>
        <w:r>
          <w:rPr>
            <w:spacing w:val="-5"/>
            <w:sz w:val="21"/>
          </w:rPr>
          <w:t> </w:t>
        </w:r>
        <w:r>
          <w:rPr>
            <w:rFonts w:ascii="Times New Roman" w:eastAsia="Times New Roman"/>
            <w:sz w:val="21"/>
          </w:rPr>
          <w:t>17</w:t>
        </w:r>
        <w:r>
          <w:rPr>
            <w:rFonts w:ascii="Times New Roman" w:eastAsia="Times New Roman"/>
            <w:spacing w:val="46"/>
            <w:sz w:val="21"/>
          </w:rPr>
          <w:t> </w:t>
        </w:r>
        <w:r>
          <w:rPr>
            <w:sz w:val="21"/>
          </w:rPr>
          <w:t>钢材合格预测</w:t>
        </w:r>
        <w:r>
          <w:rPr>
            <w:sz w:val="21"/>
          </w:rPr>
          <w:t>模</w:t>
        </w:r>
        <w:r>
          <w:rPr>
            <w:spacing w:val="-10"/>
            <w:sz w:val="21"/>
          </w:rPr>
          <w:t>型</w:t>
        </w:r>
        <w:r>
          <w:rPr>
            <w:rFonts w:ascii="Times New Roman" w:eastAsia="Times New Roman"/>
            <w:sz w:val="21"/>
          </w:rPr>
          <w:tab/>
        </w:r>
        <w:r>
          <w:rPr>
            <w:rFonts w:ascii="Calibri" w:eastAsia="Calibri"/>
            <w:spacing w:val="-5"/>
            <w:sz w:val="21"/>
          </w:rPr>
          <w:t>92</w:t>
        </w:r>
      </w:hyperlink>
    </w:p>
    <w:p>
      <w:pPr>
        <w:tabs>
          <w:tab w:pos="9621" w:val="right" w:leader="dot"/>
        </w:tabs>
        <w:spacing w:before="43"/>
        <w:ind w:left="1740" w:right="0" w:firstLine="0"/>
        <w:jc w:val="left"/>
        <w:rPr>
          <w:rFonts w:ascii="Calibri" w:eastAsia="Calibri"/>
          <w:sz w:val="21"/>
        </w:rPr>
      </w:pPr>
      <w:hyperlink w:history="true" w:anchor="_bookmark86">
        <w:r>
          <w:rPr>
            <w:sz w:val="21"/>
          </w:rPr>
          <w:t>图</w:t>
        </w:r>
        <w:r>
          <w:rPr>
            <w:spacing w:val="-12"/>
            <w:sz w:val="21"/>
          </w:rPr>
          <w:t> </w:t>
        </w:r>
        <w:r>
          <w:rPr>
            <w:rFonts w:ascii="Times New Roman" w:eastAsia="Times New Roman"/>
            <w:sz w:val="21"/>
          </w:rPr>
          <w:t>18</w:t>
        </w:r>
        <w:r>
          <w:rPr>
            <w:rFonts w:ascii="Times New Roman" w:eastAsia="Times New Roman"/>
            <w:spacing w:val="42"/>
            <w:sz w:val="21"/>
          </w:rPr>
          <w:t> </w:t>
        </w:r>
        <w:r>
          <w:rPr>
            <w:sz w:val="21"/>
          </w:rPr>
          <w:t>物价大数据平台总</w:t>
        </w:r>
        <w:r>
          <w:rPr>
            <w:sz w:val="21"/>
          </w:rPr>
          <w:t>体架构示意</w:t>
        </w:r>
        <w:r>
          <w:rPr>
            <w:spacing w:val="-10"/>
            <w:sz w:val="21"/>
          </w:rPr>
          <w:t>图</w:t>
        </w:r>
        <w:r>
          <w:rPr>
            <w:rFonts w:ascii="Times New Roman" w:eastAsia="Times New Roman"/>
            <w:sz w:val="21"/>
          </w:rPr>
          <w:tab/>
        </w:r>
        <w:r>
          <w:rPr>
            <w:rFonts w:ascii="Calibri" w:eastAsia="Calibri"/>
            <w:spacing w:val="-5"/>
            <w:sz w:val="21"/>
          </w:rPr>
          <w:t>95</w:t>
        </w:r>
      </w:hyperlink>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155"/>
        <w:ind w:left="1329" w:right="1328" w:firstLine="0"/>
        <w:jc w:val="center"/>
        <w:rPr>
          <w:rFonts w:ascii="Times New Roman"/>
          <w:sz w:val="18"/>
        </w:rPr>
      </w:pPr>
      <w:r>
        <w:rPr>
          <w:rFonts w:ascii="Times New Roman"/>
          <w:spacing w:val="-5"/>
          <w:sz w:val="18"/>
        </w:rPr>
        <w:t>VII</w:t>
      </w:r>
    </w:p>
    <w:p>
      <w:pPr>
        <w:spacing w:after="0"/>
        <w:jc w:val="center"/>
        <w:rPr>
          <w:rFonts w:ascii="Times New Roman"/>
          <w:sz w:val="18"/>
        </w:rPr>
        <w:sectPr>
          <w:pgSz w:w="11910" w:h="16840"/>
          <w:pgMar w:top="1580" w:bottom="280" w:left="480" w:right="480"/>
        </w:sectPr>
      </w:pPr>
    </w:p>
    <w:p>
      <w:pPr>
        <w:pStyle w:val="BodyText"/>
        <w:spacing w:before="4"/>
        <w:rPr>
          <w:rFonts w:ascii="Times New Roman"/>
          <w:sz w:val="17"/>
        </w:rPr>
      </w:pPr>
    </w:p>
    <w:p>
      <w:pPr>
        <w:spacing w:after="0"/>
        <w:rPr>
          <w:rFonts w:ascii="Times New Roman"/>
          <w:sz w:val="17"/>
        </w:rPr>
        <w:sectPr>
          <w:pgSz w:w="11910" w:h="16840"/>
          <w:pgMar w:top="1580" w:bottom="280" w:left="480" w:right="480"/>
        </w:sectPr>
      </w:pPr>
    </w:p>
    <w:p>
      <w:pPr>
        <w:pStyle w:val="BodyText"/>
        <w:rPr>
          <w:rFonts w:ascii="Times New Roman"/>
          <w:sz w:val="20"/>
        </w:rPr>
      </w:pPr>
    </w:p>
    <w:p>
      <w:pPr>
        <w:pStyle w:val="BodyText"/>
        <w:rPr>
          <w:rFonts w:ascii="Times New Roman"/>
          <w:sz w:val="20"/>
        </w:rPr>
      </w:pPr>
    </w:p>
    <w:p>
      <w:pPr>
        <w:pStyle w:val="Heading3"/>
        <w:spacing w:before="207"/>
        <w:ind w:left="1961" w:firstLine="0"/>
        <w:rPr>
          <w:rFonts w:ascii="黑体" w:eastAsia="黑体"/>
        </w:rPr>
      </w:pPr>
      <w:bookmarkStart w:name="_bookmark3" w:id="4"/>
      <w:bookmarkEnd w:id="4"/>
      <w:r>
        <w:rPr/>
      </w:r>
      <w:r>
        <w:rPr>
          <w:rFonts w:ascii="黑体" w:eastAsia="黑体"/>
          <w:spacing w:val="10"/>
        </w:rPr>
        <w:t>一、  数</w:t>
      </w:r>
      <w:r>
        <w:rPr>
          <w:rFonts w:ascii="黑体" w:eastAsia="黑体"/>
        </w:rPr>
        <w:t>据</w:t>
      </w:r>
      <w:r>
        <w:rPr>
          <w:rFonts w:ascii="黑体" w:eastAsia="黑体"/>
        </w:rPr>
        <w:t>资</w:t>
      </w:r>
      <w:r>
        <w:rPr>
          <w:rFonts w:ascii="黑体" w:eastAsia="黑体"/>
        </w:rPr>
        <w:t>产</w:t>
      </w:r>
      <w:r>
        <w:rPr>
          <w:rFonts w:ascii="黑体" w:eastAsia="黑体"/>
        </w:rPr>
        <w:t>管</w:t>
      </w:r>
      <w:r>
        <w:rPr>
          <w:rFonts w:ascii="黑体" w:eastAsia="黑体"/>
        </w:rPr>
        <w:t>理</w:t>
      </w:r>
      <w:r>
        <w:rPr>
          <w:rFonts w:ascii="黑体" w:eastAsia="黑体"/>
        </w:rPr>
        <w:t>概</w:t>
      </w:r>
      <w:r>
        <w:rPr>
          <w:rFonts w:ascii="黑体" w:eastAsia="黑体"/>
          <w:spacing w:val="-10"/>
        </w:rPr>
        <w:t>述</w:t>
      </w:r>
    </w:p>
    <w:p>
      <w:pPr>
        <w:pStyle w:val="BodyText"/>
        <w:spacing w:before="7"/>
        <w:rPr>
          <w:rFonts w:ascii="黑体"/>
          <w:sz w:val="23"/>
        </w:rPr>
      </w:pPr>
    </w:p>
    <w:p>
      <w:pPr>
        <w:pStyle w:val="BodyText"/>
        <w:spacing w:line="417" w:lineRule="auto"/>
        <w:ind w:left="1320" w:right="1175" w:firstLine="559"/>
      </w:pPr>
      <w:r>
        <w:rPr>
          <w:spacing w:val="-2"/>
        </w:rPr>
        <w:t>数据成为资产，已经是行业共识，甚至有人建议将数据计入资产</w:t>
      </w:r>
      <w:r>
        <w:rPr>
          <w:spacing w:val="-2"/>
        </w:rPr>
        <w:t>负债表。但如果对比实物资产，对数据资产的管理，还处于非常原始</w:t>
      </w:r>
      <w:r>
        <w:rPr>
          <w:spacing w:val="-2"/>
        </w:rPr>
        <w:t>的阶段。往往一个机构针对其数据资产类别和数量都缺乏全面了解，</w:t>
      </w:r>
      <w:r>
        <w:rPr>
          <w:spacing w:val="-2"/>
        </w:rPr>
        <w:t>数据质量、数据安全、资产评估、资产交换交易等精细管理、价值挖</w:t>
      </w:r>
      <w:r>
        <w:rPr>
          <w:spacing w:val="-2"/>
        </w:rPr>
        <w:t>掘和持续运营则更为薄弱。</w:t>
      </w:r>
    </w:p>
    <w:p>
      <w:pPr>
        <w:pStyle w:val="BodyText"/>
        <w:spacing w:line="417" w:lineRule="auto"/>
        <w:ind w:left="1320" w:right="1174" w:firstLine="559"/>
      </w:pPr>
      <w:r>
        <w:rPr>
          <w:spacing w:val="-6"/>
        </w:rPr>
        <w:t>数据资产管理是现阶段推动大数据与实体经济深度融合、新旧动</w:t>
      </w:r>
      <w:r>
        <w:rPr>
          <w:spacing w:val="-2"/>
        </w:rPr>
        <w:t>能转换、经济转向高质量发展阶段的重要工作内容。本章将阐述数据</w:t>
      </w:r>
      <w:r>
        <w:rPr>
          <w:spacing w:val="-2"/>
        </w:rPr>
        <w:t>资产管理的定义与内涵，分析数据资产管理在大数据中的重要意义，</w:t>
      </w:r>
      <w:r>
        <w:rPr>
          <w:spacing w:val="-2"/>
        </w:rPr>
        <w:t>并对数据资产管理在大数据发展中的趋势进行分析。</w:t>
      </w:r>
    </w:p>
    <w:p>
      <w:pPr>
        <w:pStyle w:val="Heading2"/>
        <w:spacing w:before="210"/>
        <w:ind w:left="1961"/>
      </w:pPr>
      <w:bookmarkStart w:name="_bookmark4" w:id="5"/>
      <w:bookmarkEnd w:id="5"/>
      <w:r>
        <w:rPr>
          <w:b w:val="0"/>
        </w:rPr>
      </w:r>
      <w:r>
        <w:rPr>
          <w:rFonts w:ascii="Times New Roman" w:eastAsia="Times New Roman"/>
          <w:w w:val="95"/>
        </w:rPr>
        <w:t>(</w:t>
      </w:r>
      <w:r>
        <w:rPr>
          <w:w w:val="95"/>
        </w:rPr>
        <w:t>一</w:t>
      </w:r>
      <w:r>
        <w:rPr>
          <w:rFonts w:ascii="Times New Roman" w:eastAsia="Times New Roman"/>
          <w:w w:val="95"/>
        </w:rPr>
        <w:t>)</w:t>
      </w:r>
      <w:r>
        <w:rPr>
          <w:rFonts w:ascii="Times New Roman" w:eastAsia="Times New Roman"/>
          <w:spacing w:val="54"/>
        </w:rPr>
        <w:t>  </w:t>
      </w:r>
      <w:r>
        <w:rPr>
          <w:w w:val="95"/>
        </w:rPr>
        <w:t>数</w:t>
      </w:r>
      <w:r>
        <w:rPr>
          <w:w w:val="95"/>
        </w:rPr>
        <w:t>据</w:t>
      </w:r>
      <w:r>
        <w:rPr>
          <w:w w:val="95"/>
        </w:rPr>
        <w:t>资</w:t>
      </w:r>
      <w:r>
        <w:rPr>
          <w:w w:val="95"/>
        </w:rPr>
        <w:t>产</w:t>
      </w:r>
      <w:r>
        <w:rPr>
          <w:w w:val="95"/>
        </w:rPr>
        <w:t>管</w:t>
      </w:r>
      <w:r>
        <w:rPr>
          <w:w w:val="95"/>
        </w:rPr>
        <w:t>理</w:t>
      </w:r>
      <w:r>
        <w:rPr>
          <w:w w:val="95"/>
        </w:rPr>
        <w:t>的</w:t>
      </w:r>
      <w:r>
        <w:rPr>
          <w:w w:val="95"/>
        </w:rPr>
        <w:t>定</w:t>
      </w:r>
      <w:r>
        <w:rPr>
          <w:w w:val="95"/>
        </w:rPr>
        <w:t>义</w:t>
      </w:r>
      <w:r>
        <w:rPr>
          <w:w w:val="95"/>
        </w:rPr>
        <w:t>与</w:t>
      </w:r>
      <w:r>
        <w:rPr>
          <w:w w:val="95"/>
        </w:rPr>
        <w:t>内</w:t>
      </w:r>
      <w:r>
        <w:rPr>
          <w:spacing w:val="-10"/>
          <w:w w:val="95"/>
        </w:rPr>
        <w:t>涵</w:t>
      </w:r>
    </w:p>
    <w:p>
      <w:pPr>
        <w:pStyle w:val="BodyText"/>
        <w:spacing w:before="6"/>
        <w:rPr>
          <w:rFonts w:ascii="楷体"/>
          <w:b/>
          <w:sz w:val="35"/>
        </w:rPr>
      </w:pPr>
    </w:p>
    <w:p>
      <w:pPr>
        <w:pStyle w:val="Heading3"/>
        <w:numPr>
          <w:ilvl w:val="1"/>
          <w:numId w:val="7"/>
        </w:numPr>
        <w:tabs>
          <w:tab w:pos="2580" w:val="left" w:leader="none"/>
          <w:tab w:pos="2581" w:val="left" w:leader="none"/>
        </w:tabs>
        <w:spacing w:line="240" w:lineRule="auto" w:before="0" w:after="0"/>
        <w:ind w:left="2580" w:right="0" w:hanging="620"/>
        <w:jc w:val="left"/>
      </w:pPr>
      <w:bookmarkStart w:name="_bookmark5" w:id="6"/>
      <w:bookmarkEnd w:id="6"/>
      <w:r>
        <w:rPr>
          <w:w w:val="95"/>
        </w:rPr>
        <w:t>数</w:t>
      </w:r>
      <w:r>
        <w:rPr>
          <w:w w:val="95"/>
        </w:rPr>
        <w:t>据</w:t>
      </w:r>
      <w:r>
        <w:rPr>
          <w:w w:val="95"/>
        </w:rPr>
        <w:t>资</w:t>
      </w:r>
      <w:r>
        <w:rPr>
          <w:w w:val="95"/>
        </w:rPr>
        <w:t>产</w:t>
      </w:r>
      <w:r>
        <w:rPr>
          <w:w w:val="95"/>
        </w:rPr>
        <w:t>管</w:t>
      </w:r>
      <w:r>
        <w:rPr>
          <w:w w:val="95"/>
        </w:rPr>
        <w:t>理</w:t>
      </w:r>
      <w:r>
        <w:rPr>
          <w:w w:val="95"/>
        </w:rPr>
        <w:t>的</w:t>
      </w:r>
      <w:r>
        <w:rPr>
          <w:spacing w:val="-5"/>
          <w:w w:val="95"/>
        </w:rPr>
        <w:t>概念</w:t>
      </w:r>
    </w:p>
    <w:p>
      <w:pPr>
        <w:pStyle w:val="BodyText"/>
        <w:spacing w:line="417" w:lineRule="auto" w:before="302"/>
        <w:ind w:left="1320" w:right="1174" w:firstLine="559"/>
      </w:pPr>
      <w:r>
        <w:rPr>
          <w:rFonts w:ascii="黑体" w:eastAsia="黑体"/>
        </w:rPr>
        <w:t>数据资产</w:t>
      </w:r>
      <w:r>
        <w:rPr/>
        <w:t>（</w:t>
      </w:r>
      <w:r>
        <w:rPr>
          <w:rFonts w:ascii="Times New Roman" w:eastAsia="Times New Roman"/>
        </w:rPr>
        <w:t>Data</w:t>
      </w:r>
      <w:r>
        <w:rPr>
          <w:rFonts w:ascii="Times New Roman" w:eastAsia="Times New Roman"/>
          <w:spacing w:val="40"/>
        </w:rPr>
        <w:t> </w:t>
      </w:r>
      <w:r>
        <w:rPr>
          <w:rFonts w:ascii="Times New Roman" w:eastAsia="Times New Roman"/>
        </w:rPr>
        <w:t>Asset</w:t>
      </w:r>
      <w:r>
        <w:rPr/>
        <w:t>）是指由企业拥有或者控制的，能够为企</w:t>
      </w:r>
      <w:r>
        <w:rPr>
          <w:spacing w:val="-2"/>
        </w:rPr>
        <w:t>业带来未来经济利益的，以物理或电子的方式记录的数据资源，如文件资料、电子数据等。在企业中，并非所有的数据都构成数据资产，</w:t>
      </w:r>
      <w:r>
        <w:rPr>
          <w:spacing w:val="-2"/>
        </w:rPr>
        <w:t>数据资产是能够为企业产生价值的数据资源。</w:t>
      </w:r>
    </w:p>
    <w:p>
      <w:pPr>
        <w:pStyle w:val="BodyText"/>
        <w:spacing w:line="417" w:lineRule="auto"/>
        <w:ind w:left="1320" w:right="1178" w:firstLine="559"/>
      </w:pPr>
      <w:r>
        <w:rPr>
          <w:rFonts w:ascii="黑体" w:eastAsia="黑体"/>
        </w:rPr>
        <w:t>数据资产管理</w:t>
      </w:r>
      <w:r>
        <w:rPr/>
        <w:t>（</w:t>
      </w:r>
      <w:r>
        <w:rPr>
          <w:rFonts w:ascii="Times New Roman" w:eastAsia="Times New Roman"/>
        </w:rPr>
        <w:t>DAM</w:t>
      </w:r>
      <w:r>
        <w:rPr/>
        <w:t>，</w:t>
      </w:r>
      <w:r>
        <w:rPr>
          <w:rFonts w:ascii="Times New Roman" w:eastAsia="Times New Roman"/>
        </w:rPr>
        <w:t>Data</w:t>
      </w:r>
      <w:r>
        <w:rPr>
          <w:rFonts w:ascii="Times New Roman" w:eastAsia="Times New Roman"/>
          <w:spacing w:val="-20"/>
        </w:rPr>
        <w:t> </w:t>
      </w:r>
      <w:r>
        <w:rPr>
          <w:rFonts w:ascii="Times New Roman" w:eastAsia="Times New Roman"/>
        </w:rPr>
        <w:t>Asset</w:t>
      </w:r>
      <w:r>
        <w:rPr>
          <w:rFonts w:ascii="Times New Roman" w:eastAsia="Times New Roman"/>
          <w:spacing w:val="-15"/>
        </w:rPr>
        <w:t> </w:t>
      </w:r>
      <w:r>
        <w:rPr>
          <w:rFonts w:ascii="Times New Roman" w:eastAsia="Times New Roman"/>
        </w:rPr>
        <w:t>Management</w:t>
      </w:r>
      <w:r>
        <w:rPr/>
        <w:t>）是指规划、控制</w:t>
      </w:r>
      <w:r>
        <w:rPr>
          <w:spacing w:val="-2"/>
        </w:rPr>
        <w:t>和提供数据及信息资产的一组业务职能，包括开发、执行和监督有关</w:t>
      </w:r>
      <w:r>
        <w:rPr>
          <w:spacing w:val="-2"/>
        </w:rPr>
        <w:t>数据的计划、政策、方案、项目、流程、方法和程序，从而控制、保</w:t>
      </w:r>
      <w:r>
        <w:rPr>
          <w:spacing w:val="-19"/>
        </w:rPr>
        <w:t>护、交付和提高数据资产的价值。数据资产管理是需要充分融合业务、</w:t>
      </w:r>
      <w:r>
        <w:rPr>
          <w:spacing w:val="-2"/>
        </w:rPr>
        <w:t>技术和管理，来确保数据资产保值增值。</w:t>
      </w:r>
    </w:p>
    <w:p>
      <w:pPr>
        <w:spacing w:before="116"/>
        <w:ind w:left="0" w:right="1" w:firstLine="0"/>
        <w:jc w:val="center"/>
        <w:rPr>
          <w:rFonts w:ascii="Times New Roman"/>
          <w:sz w:val="18"/>
        </w:rPr>
      </w:pPr>
      <w:r>
        <w:rPr>
          <w:rFonts w:ascii="Times New Roman"/>
          <w:sz w:val="18"/>
        </w:rPr>
        <w:t>1</w:t>
      </w:r>
    </w:p>
    <w:p>
      <w:pPr>
        <w:spacing w:after="0"/>
        <w:jc w:val="center"/>
        <w:rPr>
          <w:rFonts w:ascii="Times New Roman"/>
          <w:sz w:val="18"/>
        </w:rPr>
        <w:sectPr>
          <w:headerReference w:type="default" r:id="rId7"/>
          <w:pgSz w:w="11910" w:h="16840"/>
          <w:pgMar w:header="877" w:footer="0" w:top="1100" w:bottom="280" w:left="480" w:right="480"/>
        </w:sectPr>
      </w:pPr>
    </w:p>
    <w:p>
      <w:pPr>
        <w:pStyle w:val="BodyText"/>
        <w:rPr>
          <w:rFonts w:ascii="Times New Roman"/>
          <w:sz w:val="20"/>
        </w:rPr>
      </w:pPr>
    </w:p>
    <w:p>
      <w:pPr>
        <w:pStyle w:val="Heading3"/>
        <w:numPr>
          <w:ilvl w:val="1"/>
          <w:numId w:val="7"/>
        </w:numPr>
        <w:tabs>
          <w:tab w:pos="2580" w:val="left" w:leader="none"/>
          <w:tab w:pos="2581" w:val="left" w:leader="none"/>
        </w:tabs>
        <w:spacing w:line="240" w:lineRule="auto" w:before="197" w:after="0"/>
        <w:ind w:left="2580" w:right="0" w:hanging="620"/>
        <w:jc w:val="left"/>
      </w:pPr>
      <w:bookmarkStart w:name="_bookmark6" w:id="7"/>
      <w:bookmarkEnd w:id="7"/>
      <w:r>
        <w:rPr>
          <w:w w:val="95"/>
        </w:rPr>
        <w:t>数</w:t>
      </w:r>
      <w:r>
        <w:rPr>
          <w:w w:val="95"/>
        </w:rPr>
        <w:t>据</w:t>
      </w:r>
      <w:r>
        <w:rPr>
          <w:w w:val="95"/>
        </w:rPr>
        <w:t>资</w:t>
      </w:r>
      <w:r>
        <w:rPr>
          <w:w w:val="95"/>
        </w:rPr>
        <w:t>产</w:t>
      </w:r>
      <w:r>
        <w:rPr>
          <w:w w:val="95"/>
        </w:rPr>
        <w:t>管</w:t>
      </w:r>
      <w:r>
        <w:rPr>
          <w:w w:val="95"/>
        </w:rPr>
        <w:t>理</w:t>
      </w:r>
      <w:r>
        <w:rPr>
          <w:w w:val="95"/>
        </w:rPr>
        <w:t>的</w:t>
      </w:r>
      <w:r>
        <w:rPr>
          <w:spacing w:val="-5"/>
          <w:w w:val="95"/>
        </w:rPr>
        <w:t>内涵</w:t>
      </w:r>
    </w:p>
    <w:p>
      <w:pPr>
        <w:pStyle w:val="BodyText"/>
        <w:spacing w:line="417" w:lineRule="auto" w:before="302"/>
        <w:ind w:left="1320" w:right="1314" w:firstLine="559"/>
        <w:jc w:val="both"/>
      </w:pPr>
      <w:r>
        <w:rPr/>
        <w:t>数据资产管理在大数据体系中的定位如</w:t>
      </w:r>
      <w:hyperlink w:history="true" w:anchor="_bookmark7">
        <w:r>
          <w:rPr/>
          <w:t>图 </w:t>
        </w:r>
        <w:r>
          <w:rPr>
            <w:rFonts w:ascii="Times New Roman" w:eastAsia="Times New Roman"/>
          </w:rPr>
          <w:t>1</w:t>
        </w:r>
      </w:hyperlink>
      <w:r>
        <w:rPr>
          <w:rFonts w:ascii="Times New Roman" w:eastAsia="Times New Roman"/>
          <w:spacing w:val="40"/>
        </w:rPr>
        <w:t> </w:t>
      </w:r>
      <w:r>
        <w:rPr/>
        <w:t>所示，它位于应用</w:t>
      </w:r>
      <w:r>
        <w:rPr>
          <w:spacing w:val="-9"/>
        </w:rPr>
        <w:t>和底层平台中间。数据资产管理包括两个重要方面，</w:t>
      </w:r>
      <w:r>
        <w:rPr>
          <w:rFonts w:ascii="黑体" w:eastAsia="黑体"/>
          <w:spacing w:val="-2"/>
        </w:rPr>
        <w:t>一是</w:t>
      </w:r>
      <w:r>
        <w:rPr>
          <w:spacing w:val="-2"/>
        </w:rPr>
        <w:t>数据资产管</w:t>
      </w:r>
      <w:r>
        <w:rPr>
          <w:spacing w:val="-2"/>
        </w:rPr>
        <w:t>理的核心管理职能，</w:t>
      </w:r>
      <w:r>
        <w:rPr>
          <w:rFonts w:ascii="黑体" w:eastAsia="黑体"/>
          <w:spacing w:val="-2"/>
        </w:rPr>
        <w:t>二是</w:t>
      </w:r>
      <w:r>
        <w:rPr>
          <w:spacing w:val="-5"/>
        </w:rPr>
        <w:t>确保这些管理职能落地实施的保障措施，包</w:t>
      </w:r>
      <w:r>
        <w:rPr>
          <w:spacing w:val="-2"/>
        </w:rPr>
        <w:t>括组织架构、制度体系。</w:t>
      </w:r>
    </w:p>
    <w:p>
      <w:pPr>
        <w:pStyle w:val="BodyText"/>
        <w:spacing w:line="417" w:lineRule="auto"/>
        <w:ind w:left="1320" w:right="1179" w:firstLine="559"/>
      </w:pPr>
      <w:r>
        <w:rPr/>
        <w:drawing>
          <wp:anchor distT="0" distB="0" distL="0" distR="0" allowOverlap="1" layoutInCell="1" locked="0" behindDoc="1" simplePos="0" relativeHeight="485503488">
            <wp:simplePos x="0" y="0"/>
            <wp:positionH relativeFrom="page">
              <wp:posOffset>2348229</wp:posOffset>
            </wp:positionH>
            <wp:positionV relativeFrom="paragraph">
              <wp:posOffset>1138301</wp:posOffset>
            </wp:positionV>
            <wp:extent cx="2981324" cy="189989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2981324" cy="1899894"/>
                    </a:xfrm>
                    <a:prstGeom prst="rect">
                      <a:avLst/>
                    </a:prstGeom>
                  </pic:spPr>
                </pic:pic>
              </a:graphicData>
            </a:graphic>
          </wp:anchor>
        </w:drawing>
      </w:r>
      <w:r>
        <w:rPr>
          <w:spacing w:val="-2"/>
        </w:rPr>
        <w:t>数据资产管理在大数据应用体系中，处于承上启下的重要地位。</w:t>
      </w:r>
      <w:r>
        <w:rPr>
          <w:spacing w:val="-7"/>
        </w:rPr>
        <w:t>对上支持以价值创造为导向的数据应用开发，对下依托大数据平台实</w:t>
      </w:r>
      <w:r>
        <w:rPr>
          <w:spacing w:val="-2"/>
        </w:rPr>
        <w:t>现数据全生命周期的管理。</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8"/>
        <w:ind w:left="1329" w:right="1154" w:firstLine="0"/>
        <w:jc w:val="center"/>
        <w:rPr>
          <w:sz w:val="24"/>
        </w:rPr>
      </w:pPr>
      <w:bookmarkStart w:name="_bookmark7" w:id="8"/>
      <w:bookmarkEnd w:id="8"/>
      <w:r>
        <w:rPr/>
      </w:r>
      <w:r>
        <w:rPr>
          <w:spacing w:val="7"/>
          <w:sz w:val="24"/>
        </w:rPr>
        <w:t>图 </w:t>
      </w:r>
      <w:r>
        <w:rPr>
          <w:rFonts w:ascii="Times New Roman" w:eastAsia="Times New Roman"/>
          <w:sz w:val="24"/>
        </w:rPr>
        <w:t>1</w:t>
      </w:r>
      <w:r>
        <w:rPr>
          <w:rFonts w:ascii="Times New Roman" w:eastAsia="Times New Roman"/>
          <w:spacing w:val="64"/>
          <w:sz w:val="24"/>
        </w:rPr>
        <w:t> </w:t>
      </w:r>
      <w:r>
        <w:rPr>
          <w:spacing w:val="16"/>
          <w:sz w:val="24"/>
        </w:rPr>
        <w:t>数据资产管理在大数据体系中的定位</w:t>
      </w:r>
    </w:p>
    <w:p>
      <w:pPr>
        <w:pStyle w:val="BodyText"/>
        <w:rPr>
          <w:sz w:val="32"/>
        </w:rPr>
      </w:pPr>
    </w:p>
    <w:p>
      <w:pPr>
        <w:pStyle w:val="BodyText"/>
        <w:spacing w:line="417" w:lineRule="auto" w:before="1"/>
        <w:ind w:left="1320" w:right="1311" w:firstLine="559"/>
        <w:jc w:val="both"/>
      </w:pPr>
      <w:r>
        <w:rPr>
          <w:spacing w:val="-10"/>
        </w:rPr>
        <w:t>数据资产管理贯穿数据采集、应用和价值实现等整个生命周期全</w:t>
      </w:r>
      <w:r>
        <w:rPr>
          <w:spacing w:val="-4"/>
        </w:rPr>
        <w:t>过程。企业管理数据资产就是通过对数据的生命周期的管理，提高数</w:t>
      </w:r>
      <w:r>
        <w:rPr>
          <w:spacing w:val="-2"/>
        </w:rPr>
        <w:t>据资产质量，促进数据在</w:t>
      </w:r>
      <w:r>
        <w:rPr>
          <w:rFonts w:ascii="Times New Roman" w:hAnsi="Times New Roman" w:eastAsia="Times New Roman"/>
          <w:spacing w:val="-2"/>
        </w:rPr>
        <w:t>“</w:t>
      </w:r>
      <w:r>
        <w:rPr>
          <w:spacing w:val="-2"/>
        </w:rPr>
        <w:t>内增值，外增效</w:t>
      </w:r>
      <w:r>
        <w:rPr>
          <w:rFonts w:ascii="Times New Roman" w:hAnsi="Times New Roman" w:eastAsia="Times New Roman"/>
          <w:spacing w:val="-2"/>
        </w:rPr>
        <w:t>”</w:t>
      </w:r>
      <w:r>
        <w:rPr>
          <w:spacing w:val="-2"/>
        </w:rPr>
        <w:t>两方面的价值变现。数据</w:t>
      </w:r>
      <w:r>
        <w:rPr>
          <w:spacing w:val="-25"/>
        </w:rPr>
        <w:t>先被规范性定义、创建或获得，然后存储、维护和使用，最终被销毁。</w:t>
      </w:r>
      <w:r>
        <w:rPr>
          <w:spacing w:val="-4"/>
        </w:rPr>
        <w:t>数据的生命周期开始于数据获取之前，企业先期制定数据规划、定义</w:t>
      </w:r>
      <w:r>
        <w:rPr>
          <w:spacing w:val="-4"/>
        </w:rPr>
        <w:t>数据规范，以期获得实现数据采集、交付、存储和控制所需的技术能</w:t>
      </w:r>
      <w:r>
        <w:rPr>
          <w:spacing w:val="-4"/>
        </w:rPr>
        <w:t>力。数据资产管理一般来说包括统筹规划、管理实施、稽核检查和资</w:t>
      </w:r>
      <w:r>
        <w:rPr>
          <w:spacing w:val="-2"/>
        </w:rPr>
        <w:t>产运营四个主要阶段，详见第三部分数据资产管理的实施要点。</w:t>
      </w:r>
    </w:p>
    <w:p>
      <w:pPr>
        <w:spacing w:before="10"/>
        <w:ind w:left="0" w:right="1" w:firstLine="0"/>
        <w:jc w:val="center"/>
        <w:rPr>
          <w:rFonts w:ascii="Times New Roman"/>
          <w:sz w:val="18"/>
        </w:rPr>
      </w:pPr>
      <w:r>
        <w:rPr>
          <w:rFonts w:ascii="Times New Roman"/>
          <w:sz w:val="18"/>
        </w:rPr>
        <w:t>2</w:t>
      </w:r>
    </w:p>
    <w:p>
      <w:pPr>
        <w:spacing w:after="0"/>
        <w:jc w:val="center"/>
        <w:rPr>
          <w:rFonts w:ascii="Times New Roman"/>
          <w:sz w:val="18"/>
        </w:rPr>
        <w:sectPr>
          <w:headerReference w:type="default" r:id="rId8"/>
          <w:pgSz w:w="11910" w:h="16840"/>
          <w:pgMar w:header="877" w:footer="0" w:top="1100" w:bottom="280" w:left="480" w:right="480"/>
        </w:sectPr>
      </w:pPr>
    </w:p>
    <w:p>
      <w:pPr>
        <w:pStyle w:val="BodyText"/>
        <w:rPr>
          <w:rFonts w:ascii="Times New Roman"/>
          <w:sz w:val="20"/>
        </w:rPr>
      </w:pPr>
    </w:p>
    <w:p>
      <w:pPr>
        <w:pStyle w:val="Heading3"/>
        <w:numPr>
          <w:ilvl w:val="1"/>
          <w:numId w:val="7"/>
        </w:numPr>
        <w:tabs>
          <w:tab w:pos="2580" w:val="left" w:leader="none"/>
          <w:tab w:pos="2581" w:val="left" w:leader="none"/>
        </w:tabs>
        <w:spacing w:line="240" w:lineRule="auto" w:before="199" w:after="0"/>
        <w:ind w:left="2580" w:right="0" w:hanging="620"/>
        <w:jc w:val="left"/>
      </w:pPr>
      <w:bookmarkStart w:name="_bookmark8" w:id="9"/>
      <w:bookmarkEnd w:id="9"/>
      <w:r>
        <w:rPr>
          <w:w w:val="95"/>
        </w:rPr>
        <w:t>数</w:t>
      </w:r>
      <w:r>
        <w:rPr>
          <w:w w:val="95"/>
        </w:rPr>
        <w:t>据</w:t>
      </w:r>
      <w:r>
        <w:rPr>
          <w:w w:val="95"/>
        </w:rPr>
        <w:t>资</w:t>
      </w:r>
      <w:r>
        <w:rPr>
          <w:w w:val="95"/>
        </w:rPr>
        <w:t>产</w:t>
      </w:r>
      <w:r>
        <w:rPr>
          <w:w w:val="95"/>
        </w:rPr>
        <w:t>管</w:t>
      </w:r>
      <w:r>
        <w:rPr>
          <w:w w:val="95"/>
        </w:rPr>
        <w:t>理</w:t>
      </w:r>
      <w:r>
        <w:rPr>
          <w:w w:val="95"/>
        </w:rPr>
        <w:t>的</w:t>
      </w:r>
      <w:r>
        <w:rPr>
          <w:spacing w:val="-5"/>
          <w:w w:val="95"/>
        </w:rPr>
        <w:t>演变</w:t>
      </w:r>
    </w:p>
    <w:p>
      <w:pPr>
        <w:pStyle w:val="BodyText"/>
        <w:spacing w:line="417" w:lineRule="auto" w:before="300"/>
        <w:ind w:left="1320" w:right="1313" w:firstLine="559"/>
        <w:jc w:val="both"/>
      </w:pPr>
      <w:r>
        <w:rPr>
          <w:rFonts w:ascii="黑体" w:hAnsi="黑体" w:eastAsia="黑体"/>
          <w:spacing w:val="-2"/>
        </w:rPr>
        <w:t>数据管理</w:t>
      </w:r>
      <w:r>
        <w:rPr>
          <w:spacing w:val="-2"/>
        </w:rPr>
        <w:t>的概念是伴随上世纪八十年代数据随机存储技术和数</w:t>
      </w:r>
      <w:r>
        <w:rPr>
          <w:spacing w:val="-12"/>
        </w:rPr>
        <w:t>据库技术的使用，计算机系统中的数据可以方便地存储和访问而提出</w:t>
      </w:r>
      <w:r>
        <w:rPr>
          <w:spacing w:val="30"/>
        </w:rPr>
        <w:t>的。国际数据管理协会</w:t>
      </w:r>
      <w:r>
        <w:rPr/>
        <w:t>（</w:t>
      </w:r>
      <w:r>
        <w:rPr>
          <w:spacing w:val="-35"/>
        </w:rPr>
        <w:t> </w:t>
      </w:r>
      <w:r>
        <w:rPr>
          <w:rFonts w:ascii="Times New Roman" w:hAnsi="Times New Roman" w:eastAsia="Times New Roman"/>
        </w:rPr>
        <w:t>DAMA</w:t>
      </w:r>
      <w:r>
        <w:rPr>
          <w:spacing w:val="-18"/>
        </w:rPr>
        <w:t>， </w:t>
      </w:r>
      <w:r>
        <w:rPr>
          <w:rFonts w:ascii="Times New Roman" w:hAnsi="Times New Roman" w:eastAsia="Times New Roman"/>
        </w:rPr>
        <w:t>Data</w:t>
      </w:r>
      <w:r>
        <w:rPr>
          <w:rFonts w:ascii="Times New Roman" w:hAnsi="Times New Roman" w:eastAsia="Times New Roman"/>
          <w:spacing w:val="-18"/>
        </w:rPr>
        <w:t> </w:t>
      </w:r>
      <w:r>
        <w:rPr>
          <w:rFonts w:ascii="Times New Roman" w:hAnsi="Times New Roman" w:eastAsia="Times New Roman"/>
        </w:rPr>
        <w:t>Management</w:t>
      </w:r>
      <w:r>
        <w:rPr>
          <w:rFonts w:ascii="Times New Roman" w:hAnsi="Times New Roman" w:eastAsia="Times New Roman"/>
          <w:spacing w:val="80"/>
        </w:rPr>
        <w:t> </w:t>
      </w:r>
      <w:r>
        <w:rPr>
          <w:rFonts w:ascii="Times New Roman" w:hAnsi="Times New Roman" w:eastAsia="Times New Roman"/>
        </w:rPr>
        <w:t>Association International</w:t>
      </w:r>
      <w:r>
        <w:rPr/>
        <w:t>）</w:t>
      </w:r>
      <w:r>
        <w:rPr>
          <w:spacing w:val="-18"/>
        </w:rPr>
        <w:t>在 </w:t>
      </w:r>
      <w:r>
        <w:rPr>
          <w:rFonts w:ascii="Times New Roman" w:hAnsi="Times New Roman" w:eastAsia="Times New Roman"/>
        </w:rPr>
        <w:t>2009</w:t>
      </w:r>
      <w:r>
        <w:rPr>
          <w:rFonts w:ascii="Times New Roman" w:hAnsi="Times New Roman" w:eastAsia="Times New Roman"/>
          <w:spacing w:val="-7"/>
        </w:rPr>
        <w:t> </w:t>
      </w:r>
      <w:r>
        <w:rPr>
          <w:spacing w:val="-3"/>
        </w:rPr>
        <w:t>年发布的数据管理知识体系 </w:t>
      </w:r>
      <w:r>
        <w:rPr>
          <w:rFonts w:ascii="Times New Roman" w:hAnsi="Times New Roman" w:eastAsia="Times New Roman"/>
        </w:rPr>
        <w:t>DMBOK1.0</w:t>
      </w:r>
      <w:r>
        <w:rPr>
          <w:position w:val="13"/>
          <w:sz w:val="14"/>
        </w:rPr>
        <w:t>①</w:t>
      </w:r>
      <w:r>
        <w:rPr/>
        <w:t>中定义为规划、控制和提供数据资产，发挥数据资产的价值。</w:t>
      </w:r>
      <w:r>
        <w:rPr>
          <w:rFonts w:ascii="Times New Roman" w:hAnsi="Times New Roman" w:eastAsia="Times New Roman"/>
        </w:rPr>
        <w:t>DAMA </w:t>
      </w:r>
      <w:r>
        <w:rPr/>
        <w:t>数</w:t>
      </w:r>
      <w:r>
        <w:rPr>
          <w:spacing w:val="-3"/>
        </w:rPr>
        <w:t>据管理体系将数据管理划分为 </w:t>
      </w:r>
      <w:r>
        <w:rPr>
          <w:rFonts w:ascii="Times New Roman" w:hAnsi="Times New Roman" w:eastAsia="Times New Roman"/>
        </w:rPr>
        <w:t>10</w:t>
      </w:r>
      <w:r>
        <w:rPr>
          <w:rFonts w:ascii="Times New Roman" w:hAnsi="Times New Roman" w:eastAsia="Times New Roman"/>
          <w:spacing w:val="-18"/>
        </w:rPr>
        <w:t> </w:t>
      </w:r>
      <w:r>
        <w:rPr/>
        <w:t>个领域，分别是数据治理、数据架</w:t>
      </w:r>
      <w:r>
        <w:rPr>
          <w:spacing w:val="-4"/>
        </w:rPr>
        <w:t>构管理、数据开发、数据操作管理、数据安全管理、参考数据和主数</w:t>
      </w:r>
      <w:r>
        <w:rPr>
          <w:spacing w:val="-4"/>
        </w:rPr>
        <w:t>据管理、数据仓库和商务智能管理、文档和内容管理、元数据管理和</w:t>
      </w:r>
      <w:r>
        <w:rPr>
          <w:spacing w:val="-9"/>
        </w:rPr>
        <w:t>数据质量管理。</w:t>
      </w:r>
      <w:r>
        <w:rPr>
          <w:rFonts w:ascii="Times New Roman" w:hAnsi="Times New Roman" w:eastAsia="Times New Roman"/>
          <w:spacing w:val="-2"/>
        </w:rPr>
        <w:t>2015</w:t>
      </w:r>
      <w:r>
        <w:rPr>
          <w:rFonts w:ascii="Times New Roman" w:hAnsi="Times New Roman" w:eastAsia="Times New Roman"/>
          <w:spacing w:val="-8"/>
        </w:rPr>
        <w:t> </w:t>
      </w:r>
      <w:r>
        <w:rPr>
          <w:spacing w:val="-2"/>
        </w:rPr>
        <w:t>年，</w:t>
      </w:r>
      <w:r>
        <w:rPr>
          <w:rFonts w:ascii="Times New Roman" w:hAnsi="Times New Roman" w:eastAsia="Times New Roman"/>
          <w:spacing w:val="-2"/>
        </w:rPr>
        <w:t>DAMA</w:t>
      </w:r>
      <w:r>
        <w:rPr>
          <w:rFonts w:ascii="Times New Roman" w:hAnsi="Times New Roman" w:eastAsia="Times New Roman"/>
          <w:spacing w:val="-6"/>
        </w:rPr>
        <w:t> </w:t>
      </w:r>
      <w:r>
        <w:rPr>
          <w:spacing w:val="-35"/>
        </w:rPr>
        <w:t>在 </w:t>
      </w:r>
      <w:r>
        <w:rPr>
          <w:rFonts w:ascii="Times New Roman" w:hAnsi="Times New Roman" w:eastAsia="Times New Roman"/>
          <w:spacing w:val="-2"/>
        </w:rPr>
        <w:t>DBMOK2.0</w:t>
      </w:r>
      <w:r>
        <w:rPr>
          <w:rFonts w:ascii="Times New Roman" w:hAnsi="Times New Roman" w:eastAsia="Times New Roman"/>
          <w:spacing w:val="-4"/>
        </w:rPr>
        <w:t> </w:t>
      </w:r>
      <w:r>
        <w:rPr>
          <w:spacing w:val="-3"/>
        </w:rPr>
        <w:t>知识领域将其扩展为</w:t>
      </w:r>
    </w:p>
    <w:p>
      <w:pPr>
        <w:pStyle w:val="BodyText"/>
        <w:spacing w:line="417" w:lineRule="auto"/>
        <w:ind w:left="1320" w:right="1314"/>
        <w:jc w:val="both"/>
      </w:pPr>
      <w:r>
        <w:rPr>
          <w:rFonts w:ascii="Times New Roman" w:eastAsia="Times New Roman"/>
        </w:rPr>
        <w:t>11 </w:t>
      </w:r>
      <w:r>
        <w:rPr/>
        <w:t>个管理职能，分别是数据架构、数据模型与设计、数据存储与操</w:t>
      </w:r>
      <w:r>
        <w:rPr>
          <w:spacing w:val="-4"/>
        </w:rPr>
        <w:t>作、数据安全、数据集成与互操作性、文件和内容、参考数据和主数</w:t>
      </w:r>
      <w:r>
        <w:rPr>
          <w:spacing w:val="-6"/>
        </w:rPr>
        <w:t>据、数据仓库和商务智能（</w:t>
      </w:r>
      <w:r>
        <w:rPr>
          <w:rFonts w:ascii="Times New Roman" w:eastAsia="Times New Roman"/>
          <w:spacing w:val="-6"/>
        </w:rPr>
        <w:t>BI</w:t>
      </w:r>
      <w:r>
        <w:rPr>
          <w:spacing w:val="-6"/>
        </w:rPr>
        <w:t>，</w:t>
      </w:r>
      <w:r>
        <w:rPr>
          <w:rFonts w:ascii="Times New Roman" w:eastAsia="Times New Roman"/>
          <w:spacing w:val="-6"/>
        </w:rPr>
        <w:t>Business </w:t>
      </w:r>
      <w:r>
        <w:rPr>
          <w:rFonts w:ascii="Times New Roman" w:eastAsia="Times New Roman"/>
          <w:spacing w:val="2"/>
        </w:rPr>
        <w:t>I</w:t>
      </w:r>
      <w:r>
        <w:rPr>
          <w:rFonts w:ascii="Times New Roman" w:eastAsia="Times New Roman"/>
          <w:spacing w:val="5"/>
        </w:rPr>
        <w:t>n</w:t>
      </w:r>
      <w:r>
        <w:rPr>
          <w:rFonts w:ascii="Times New Roman" w:eastAsia="Times New Roman"/>
          <w:spacing w:val="3"/>
        </w:rPr>
        <w:t>t</w:t>
      </w:r>
      <w:r>
        <w:rPr>
          <w:rFonts w:ascii="Times New Roman" w:eastAsia="Times New Roman"/>
          <w:spacing w:val="5"/>
        </w:rPr>
        <w:t>e</w:t>
      </w:r>
      <w:r>
        <w:rPr>
          <w:rFonts w:ascii="Times New Roman" w:eastAsia="Times New Roman"/>
          <w:spacing w:val="3"/>
        </w:rPr>
        <w:t>l</w:t>
      </w:r>
      <w:r>
        <w:rPr>
          <w:rFonts w:ascii="Times New Roman" w:eastAsia="Times New Roman"/>
          <w:spacing w:val="5"/>
        </w:rPr>
        <w:t>l</w:t>
      </w:r>
      <w:r>
        <w:rPr>
          <w:rFonts w:ascii="Times New Roman" w:eastAsia="Times New Roman"/>
          <w:spacing w:val="3"/>
        </w:rPr>
        <w:t>i</w:t>
      </w:r>
      <w:r>
        <w:rPr>
          <w:rFonts w:ascii="Times New Roman" w:eastAsia="Times New Roman"/>
          <w:spacing w:val="5"/>
        </w:rPr>
        <w:t>g</w:t>
      </w:r>
      <w:r>
        <w:rPr>
          <w:rFonts w:ascii="Times New Roman" w:eastAsia="Times New Roman"/>
          <w:spacing w:val="2"/>
        </w:rPr>
        <w:t>e</w:t>
      </w:r>
      <w:r>
        <w:rPr>
          <w:rFonts w:ascii="Times New Roman" w:eastAsia="Times New Roman"/>
          <w:spacing w:val="5"/>
        </w:rPr>
        <w:t>nce</w:t>
      </w:r>
      <w:r>
        <w:rPr>
          <w:spacing w:val="-137"/>
        </w:rPr>
        <w:t>）</w:t>
      </w:r>
      <w:r>
        <w:rPr>
          <w:spacing w:val="-6"/>
        </w:rPr>
        <w:t>、元数据、数据</w:t>
      </w:r>
      <w:r>
        <w:rPr>
          <w:spacing w:val="-4"/>
        </w:rPr>
        <w:t>质量等。</w:t>
      </w:r>
    </w:p>
    <w:p>
      <w:pPr>
        <w:pStyle w:val="BodyText"/>
        <w:spacing w:line="417" w:lineRule="auto"/>
        <w:ind w:left="1320" w:right="1173" w:firstLine="559"/>
      </w:pPr>
      <w:r>
        <w:rPr>
          <w:spacing w:val="-12"/>
        </w:rPr>
        <w:t>在数据资产化背景下，数据资产管理是在数据管理基础上的进一</w:t>
      </w:r>
      <w:r>
        <w:rPr>
          <w:spacing w:val="-2"/>
        </w:rPr>
        <w:t>步发展，可以视作数据管理的升级版。主要区别可以从三方面看：</w:t>
      </w:r>
      <w:r>
        <w:rPr>
          <w:rFonts w:ascii="黑体" w:eastAsia="黑体"/>
          <w:spacing w:val="-2"/>
        </w:rPr>
        <w:t>一是</w:t>
      </w:r>
      <w:r>
        <w:rPr>
          <w:spacing w:val="-2"/>
        </w:rPr>
        <w:t>从数据管理变成数据资产管理，在数据资产管理的概念下，强调的是紧紧围绕着把数据作为一种资产，基于数据资产的价值、成本、收</w:t>
      </w:r>
      <w:r>
        <w:rPr>
          <w:spacing w:val="-12"/>
        </w:rPr>
        <w:t>益开展全生命周期的管理。</w:t>
      </w:r>
      <w:r>
        <w:rPr>
          <w:rFonts w:ascii="黑体" w:eastAsia="黑体"/>
        </w:rPr>
        <w:t>二是</w:t>
      </w:r>
      <w:r>
        <w:rPr>
          <w:spacing w:val="-18"/>
        </w:rPr>
        <w:t>管理职能有所调整，和 </w:t>
      </w:r>
      <w:r>
        <w:rPr>
          <w:rFonts w:ascii="Times New Roman" w:eastAsia="Times New Roman"/>
        </w:rPr>
        <w:t>2015 </w:t>
      </w:r>
      <w:r>
        <w:rPr>
          <w:spacing w:val="60"/>
        </w:rPr>
        <w:t>年</w:t>
      </w:r>
      <w:r>
        <w:rPr>
          <w:rFonts w:ascii="Times New Roman" w:eastAsia="Times New Roman"/>
        </w:rPr>
        <w:t>DAMA</w:t>
      </w:r>
      <w:r>
        <w:rPr>
          <w:spacing w:val="-2"/>
        </w:rPr>
        <w:t>的管理职能相比，数据资产管理延用数据模型、元数据、数据质量、</w:t>
      </w:r>
      <w:r>
        <w:rPr>
          <w:spacing w:val="-2"/>
        </w:rPr>
        <w:t>参考数据和主数据、数据安全等内容，整合数据架构、数据存储与操</w:t>
      </w:r>
    </w:p>
    <w:p>
      <w:pPr>
        <w:pStyle w:val="BodyText"/>
        <w:spacing w:before="6"/>
        <w:rPr>
          <w:sz w:val="22"/>
        </w:rPr>
      </w:pPr>
      <w:r>
        <w:rPr/>
        <w:pict>
          <v:rect style="position:absolute;margin-left:90.024002pt;margin-top:15.642007pt;width:144.020pt;height:.71997pt;mso-position-horizontal-relative:page;mso-position-vertical-relative:paragraph;z-index:-15725568;mso-wrap-distance-left:0;mso-wrap-distance-right:0" id="docshape18" filled="true" fillcolor="#000000" stroked="false">
            <v:fill type="solid"/>
            <w10:wrap type="topAndBottom"/>
          </v:rect>
        </w:pict>
      </w:r>
    </w:p>
    <w:p>
      <w:pPr>
        <w:spacing w:before="98"/>
        <w:ind w:left="1320" w:right="0" w:firstLine="0"/>
        <w:jc w:val="left"/>
        <w:rPr>
          <w:rFonts w:ascii="Times New Roman" w:hAnsi="Times New Roman"/>
          <w:sz w:val="18"/>
        </w:rPr>
      </w:pPr>
      <w:r>
        <w:rPr>
          <w:rFonts w:ascii="宋体" w:hAnsi="宋体"/>
          <w:position w:val="9"/>
          <w:sz w:val="9"/>
        </w:rPr>
        <w:t>①</w:t>
      </w:r>
      <w:r>
        <w:rPr>
          <w:rFonts w:ascii="宋体" w:hAnsi="宋体"/>
          <w:spacing w:val="42"/>
          <w:position w:val="9"/>
          <w:sz w:val="9"/>
        </w:rPr>
        <w:t> </w:t>
      </w:r>
      <w:r>
        <w:rPr>
          <w:rFonts w:ascii="Times New Roman" w:hAnsi="Times New Roman"/>
          <w:sz w:val="18"/>
        </w:rPr>
        <w:t>The</w:t>
      </w:r>
      <w:r>
        <w:rPr>
          <w:rFonts w:ascii="Times New Roman" w:hAnsi="Times New Roman"/>
          <w:spacing w:val="-3"/>
          <w:sz w:val="18"/>
        </w:rPr>
        <w:t> </w:t>
      </w:r>
      <w:r>
        <w:rPr>
          <w:rFonts w:ascii="Times New Roman" w:hAnsi="Times New Roman"/>
          <w:sz w:val="18"/>
        </w:rPr>
        <w:t>DAMA</w:t>
      </w:r>
      <w:r>
        <w:rPr>
          <w:rFonts w:ascii="Times New Roman" w:hAnsi="Times New Roman"/>
          <w:spacing w:val="-11"/>
          <w:sz w:val="18"/>
        </w:rPr>
        <w:t> </w:t>
      </w:r>
      <w:r>
        <w:rPr>
          <w:rFonts w:ascii="Times New Roman" w:hAnsi="Times New Roman"/>
          <w:sz w:val="18"/>
        </w:rPr>
        <w:t>Guide</w:t>
      </w:r>
      <w:r>
        <w:rPr>
          <w:rFonts w:ascii="Times New Roman" w:hAnsi="Times New Roman"/>
          <w:spacing w:val="-3"/>
          <w:sz w:val="18"/>
        </w:rPr>
        <w:t> </w:t>
      </w:r>
      <w:r>
        <w:rPr>
          <w:rFonts w:ascii="Times New Roman" w:hAnsi="Times New Roman"/>
          <w:sz w:val="18"/>
        </w:rPr>
        <w:t>to</w:t>
      </w:r>
      <w:r>
        <w:rPr>
          <w:rFonts w:ascii="Times New Roman" w:hAnsi="Times New Roman"/>
          <w:spacing w:val="-1"/>
          <w:sz w:val="18"/>
        </w:rPr>
        <w:t> </w:t>
      </w:r>
      <w:r>
        <w:rPr>
          <w:rFonts w:ascii="Times New Roman" w:hAnsi="Times New Roman"/>
          <w:sz w:val="18"/>
        </w:rPr>
        <w:t>the</w:t>
      </w:r>
      <w:r>
        <w:rPr>
          <w:rFonts w:ascii="Times New Roman" w:hAnsi="Times New Roman"/>
          <w:spacing w:val="-3"/>
          <w:sz w:val="18"/>
        </w:rPr>
        <w:t> </w:t>
      </w:r>
      <w:r>
        <w:rPr>
          <w:rFonts w:ascii="Times New Roman" w:hAnsi="Times New Roman"/>
          <w:sz w:val="18"/>
        </w:rPr>
        <w:t>Data</w:t>
      </w:r>
      <w:r>
        <w:rPr>
          <w:rFonts w:ascii="Times New Roman" w:hAnsi="Times New Roman"/>
          <w:spacing w:val="-2"/>
          <w:sz w:val="18"/>
        </w:rPr>
        <w:t> </w:t>
      </w:r>
      <w:r>
        <w:rPr>
          <w:rFonts w:ascii="Times New Roman" w:hAnsi="Times New Roman"/>
          <w:sz w:val="18"/>
        </w:rPr>
        <w:t>Management</w:t>
      </w:r>
      <w:r>
        <w:rPr>
          <w:rFonts w:ascii="Times New Roman" w:hAnsi="Times New Roman"/>
          <w:spacing w:val="-2"/>
          <w:sz w:val="18"/>
        </w:rPr>
        <w:t> </w:t>
      </w:r>
      <w:r>
        <w:rPr>
          <w:rFonts w:ascii="Times New Roman" w:hAnsi="Times New Roman"/>
          <w:sz w:val="18"/>
        </w:rPr>
        <w:t>Body</w:t>
      </w:r>
      <w:r>
        <w:rPr>
          <w:rFonts w:ascii="Times New Roman" w:hAnsi="Times New Roman"/>
          <w:spacing w:val="-5"/>
          <w:sz w:val="18"/>
        </w:rPr>
        <w:t> </w:t>
      </w:r>
      <w:r>
        <w:rPr>
          <w:rFonts w:ascii="Times New Roman" w:hAnsi="Times New Roman"/>
          <w:sz w:val="18"/>
        </w:rPr>
        <w:t>of</w:t>
      </w:r>
      <w:r>
        <w:rPr>
          <w:rFonts w:ascii="Times New Roman" w:hAnsi="Times New Roman"/>
          <w:spacing w:val="-4"/>
          <w:sz w:val="18"/>
        </w:rPr>
        <w:t> </w:t>
      </w:r>
      <w:r>
        <w:rPr>
          <w:rFonts w:ascii="Times New Roman" w:hAnsi="Times New Roman"/>
          <w:spacing w:val="-2"/>
          <w:sz w:val="18"/>
        </w:rPr>
        <w:t>Knowledge</w:t>
      </w:r>
    </w:p>
    <w:p>
      <w:pPr>
        <w:pStyle w:val="BodyText"/>
        <w:spacing w:before="7"/>
        <w:rPr>
          <w:rFonts w:ascii="Times New Roman"/>
          <w:sz w:val="13"/>
        </w:rPr>
      </w:pPr>
    </w:p>
    <w:p>
      <w:pPr>
        <w:spacing w:before="93"/>
        <w:ind w:left="0" w:right="1" w:firstLine="0"/>
        <w:jc w:val="center"/>
        <w:rPr>
          <w:rFonts w:ascii="Times New Roman"/>
          <w:sz w:val="18"/>
        </w:rPr>
      </w:pPr>
      <w:r>
        <w:rPr>
          <w:rFonts w:ascii="Times New Roman"/>
          <w:sz w:val="18"/>
        </w:rPr>
        <w:t>3</w:t>
      </w:r>
    </w:p>
    <w:p>
      <w:pPr>
        <w:spacing w:after="0"/>
        <w:jc w:val="center"/>
        <w:rPr>
          <w:rFonts w:ascii="Times New Roman"/>
          <w:sz w:val="18"/>
        </w:rPr>
        <w:sectPr>
          <w:headerReference w:type="default" r:id="rId10"/>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2"/>
        <w:jc w:val="both"/>
      </w:pPr>
      <w:r>
        <w:rPr>
          <w:spacing w:val="-4"/>
        </w:rPr>
        <w:t>作等内容，将数据标准管理、数据生命周期管理纳入管理职能，还针</w:t>
      </w:r>
      <w:r>
        <w:rPr>
          <w:spacing w:val="-9"/>
        </w:rPr>
        <w:t>对当下应用场景、平台建设情况，将传统数据管理职能的具体内容进</w:t>
      </w:r>
      <w:r>
        <w:rPr>
          <w:spacing w:val="-9"/>
        </w:rPr>
        <w:t>行了升级，增加了数据资产价值评估、数据资产运营流通两个管理职</w:t>
      </w:r>
      <w:r>
        <w:rPr>
          <w:spacing w:val="-15"/>
        </w:rPr>
        <w:t>能。关于管理职能的描述详见第二章。</w:t>
      </w:r>
      <w:r>
        <w:rPr>
          <w:rFonts w:ascii="黑体" w:hAnsi="黑体" w:eastAsia="黑体"/>
          <w:spacing w:val="-2"/>
        </w:rPr>
        <w:t>三是</w:t>
      </w:r>
      <w:r>
        <w:rPr>
          <w:spacing w:val="-10"/>
        </w:rPr>
        <w:t>管理要求有所升级，在</w:t>
      </w:r>
      <w:r>
        <w:rPr>
          <w:rFonts w:ascii="Times New Roman" w:hAnsi="Times New Roman" w:eastAsia="Times New Roman"/>
          <w:spacing w:val="-2"/>
        </w:rPr>
        <w:t>“</w:t>
      </w:r>
      <w:r>
        <w:rPr>
          <w:spacing w:val="-2"/>
        </w:rPr>
        <w:t>数</w:t>
      </w:r>
      <w:r>
        <w:rPr>
          <w:spacing w:val="-2"/>
        </w:rPr>
        <w:t>据资源管理转向数据资产管理</w:t>
      </w:r>
      <w:r>
        <w:rPr>
          <w:rFonts w:ascii="Times New Roman" w:hAnsi="Times New Roman" w:eastAsia="Times New Roman"/>
          <w:spacing w:val="-2"/>
        </w:rPr>
        <w:t>”</w:t>
      </w:r>
      <w:r>
        <w:rPr>
          <w:spacing w:val="-2"/>
        </w:rPr>
        <w:t>的理念影响下，管理制度和组织架构</w:t>
      </w:r>
      <w:r>
        <w:rPr>
          <w:spacing w:val="-12"/>
        </w:rPr>
        <w:t>也要有相应的变化，需要有更细致的管理制度和更专业的管理队伍来</w:t>
      </w:r>
      <w:r>
        <w:rPr>
          <w:spacing w:val="-2"/>
        </w:rPr>
        <w:t>确保数据资产管理的流程性、严谨性和安全性。</w:t>
      </w:r>
    </w:p>
    <w:p>
      <w:pPr>
        <w:pStyle w:val="BodyText"/>
        <w:spacing w:line="358" w:lineRule="exact"/>
        <w:ind w:left="1879"/>
        <w:jc w:val="both"/>
      </w:pPr>
      <w:r>
        <w:rPr>
          <w:spacing w:val="-3"/>
        </w:rPr>
        <w:t>此外，业界也经常使用 </w:t>
      </w:r>
      <w:r>
        <w:rPr>
          <w:rFonts w:ascii="Times New Roman" w:hAnsi="Times New Roman" w:eastAsia="Times New Roman"/>
        </w:rPr>
        <w:t>“</w:t>
      </w:r>
      <w:r>
        <w:rPr/>
        <w:t>数据治理</w:t>
      </w:r>
      <w:r>
        <w:rPr>
          <w:rFonts w:ascii="Times New Roman" w:hAnsi="Times New Roman" w:eastAsia="Times New Roman"/>
        </w:rPr>
        <w:t>”</w:t>
      </w:r>
      <w:r>
        <w:rPr/>
        <w:t>、</w:t>
      </w:r>
      <w:r>
        <w:rPr>
          <w:rFonts w:ascii="Times New Roman" w:hAnsi="Times New Roman" w:eastAsia="Times New Roman"/>
        </w:rPr>
        <w:t>“</w:t>
      </w:r>
      <w:r>
        <w:rPr/>
        <w:t>数据管控</w:t>
      </w:r>
      <w:r>
        <w:rPr>
          <w:rFonts w:ascii="Times New Roman" w:hAnsi="Times New Roman" w:eastAsia="Times New Roman"/>
        </w:rPr>
        <w:t>”</w:t>
      </w:r>
      <w:r>
        <w:rPr>
          <w:spacing w:val="-3"/>
        </w:rPr>
        <w:t>等说法。</w:t>
      </w:r>
    </w:p>
    <w:p>
      <w:pPr>
        <w:pStyle w:val="BodyText"/>
        <w:spacing w:before="3"/>
        <w:rPr>
          <w:sz w:val="37"/>
        </w:rPr>
      </w:pPr>
    </w:p>
    <w:p>
      <w:pPr>
        <w:pStyle w:val="Heading2"/>
        <w:spacing w:before="0"/>
        <w:ind w:left="1961"/>
        <w:jc w:val="both"/>
      </w:pPr>
      <w:bookmarkStart w:name="_bookmark9" w:id="10"/>
      <w:bookmarkEnd w:id="10"/>
      <w:r>
        <w:rPr>
          <w:b w:val="0"/>
        </w:rPr>
      </w:r>
      <w:r>
        <w:rPr>
          <w:rFonts w:ascii="Times New Roman" w:eastAsia="Times New Roman"/>
          <w:w w:val="95"/>
        </w:rPr>
        <w:t>(</w:t>
      </w:r>
      <w:r>
        <w:rPr>
          <w:w w:val="95"/>
        </w:rPr>
        <w:t>二</w:t>
      </w:r>
      <w:r>
        <w:rPr>
          <w:rFonts w:ascii="Times New Roman" w:eastAsia="Times New Roman"/>
          <w:w w:val="95"/>
        </w:rPr>
        <w:t>)</w:t>
      </w:r>
      <w:r>
        <w:rPr>
          <w:rFonts w:ascii="Times New Roman" w:eastAsia="Times New Roman"/>
          <w:spacing w:val="43"/>
          <w:w w:val="150"/>
        </w:rPr>
        <w:t>  </w:t>
      </w:r>
      <w:r>
        <w:rPr>
          <w:w w:val="95"/>
        </w:rPr>
        <w:t>数</w:t>
      </w:r>
      <w:r>
        <w:rPr>
          <w:w w:val="95"/>
        </w:rPr>
        <w:t>据</w:t>
      </w:r>
      <w:r>
        <w:rPr>
          <w:w w:val="95"/>
        </w:rPr>
        <w:t>资</w:t>
      </w:r>
      <w:r>
        <w:rPr>
          <w:w w:val="95"/>
        </w:rPr>
        <w:t>产</w:t>
      </w:r>
      <w:r>
        <w:rPr>
          <w:w w:val="95"/>
        </w:rPr>
        <w:t>管</w:t>
      </w:r>
      <w:r>
        <w:rPr>
          <w:w w:val="95"/>
        </w:rPr>
        <w:t>理是</w:t>
      </w:r>
      <w:r>
        <w:rPr>
          <w:w w:val="95"/>
        </w:rPr>
        <w:t>大</w:t>
      </w:r>
      <w:r>
        <w:rPr>
          <w:w w:val="95"/>
        </w:rPr>
        <w:t>数</w:t>
      </w:r>
      <w:r>
        <w:rPr>
          <w:w w:val="95"/>
        </w:rPr>
        <w:t>据</w:t>
      </w:r>
      <w:r>
        <w:rPr>
          <w:w w:val="95"/>
        </w:rPr>
        <w:t>时</w:t>
      </w:r>
      <w:r>
        <w:rPr>
          <w:w w:val="95"/>
        </w:rPr>
        <w:t>代</w:t>
      </w:r>
      <w:r>
        <w:rPr>
          <w:w w:val="95"/>
        </w:rPr>
        <w:t>的</w:t>
      </w:r>
      <w:r>
        <w:rPr>
          <w:spacing w:val="-4"/>
          <w:w w:val="95"/>
        </w:rPr>
        <w:t>必修课</w:t>
      </w:r>
    </w:p>
    <w:p>
      <w:pPr>
        <w:pStyle w:val="BodyText"/>
        <w:spacing w:line="417" w:lineRule="auto" w:before="302"/>
        <w:ind w:left="1320" w:right="1315" w:firstLine="559"/>
        <w:jc w:val="both"/>
      </w:pPr>
      <w:r>
        <w:rPr>
          <w:spacing w:val="-4"/>
        </w:rPr>
        <w:t>数据作为越来越重要的生产要素，将成为比土地、石油、煤矿等</w:t>
      </w:r>
      <w:r>
        <w:rPr>
          <w:spacing w:val="-4"/>
        </w:rPr>
        <w:t>更为核心的生产资源，如何加工利用数据，释放数据价值，实现企业</w:t>
      </w:r>
      <w:r>
        <w:rPr>
          <w:spacing w:val="-4"/>
        </w:rPr>
        <w:t>的数字化转型，是各行业和企业面临的重要课题，然而数据的价值发</w:t>
      </w:r>
      <w:r>
        <w:rPr>
          <w:spacing w:val="-9"/>
        </w:rPr>
        <w:t>挥面临重重困难。企业的数据资源散落在多个业务系统中，企业主和</w:t>
      </w:r>
      <w:r>
        <w:rPr>
          <w:spacing w:val="-7"/>
        </w:rPr>
        <w:t>业务人员无法及时感知到数据的分布与更新情况，也无法进一步开展</w:t>
      </w:r>
      <w:r>
        <w:rPr>
          <w:spacing w:val="-12"/>
        </w:rPr>
        <w:t>对数据加工工作。数据标准不统一，数据孤岛普遍存在导致业务系统</w:t>
      </w:r>
      <w:r>
        <w:rPr>
          <w:spacing w:val="-4"/>
        </w:rPr>
        <w:t>之间的数据无法共享，资源利用率降低，降低了数据的可得性。标准</w:t>
      </w:r>
      <w:r>
        <w:rPr>
          <w:spacing w:val="-25"/>
        </w:rPr>
        <w:t>缺失、数据录入不规范导致数据质量差，垃圾数据增多，数据不可用。</w:t>
      </w:r>
      <w:r>
        <w:rPr>
          <w:spacing w:val="-4"/>
        </w:rPr>
        <w:t>数据安全意识不够、安全防护不足导致了数据泄露事件频发，危害了</w:t>
      </w:r>
      <w:r>
        <w:rPr>
          <w:spacing w:val="-4"/>
        </w:rPr>
        <w:t>企业经营和用户利益。而且数据的价值难以评估，数据服务缺乏合规</w:t>
      </w:r>
      <w:r>
        <w:rPr>
          <w:spacing w:val="-9"/>
        </w:rPr>
        <w:t>性的指导，阻碍了数据在企业内外的流动。数据资产管理主要解决数</w:t>
      </w:r>
      <w:r>
        <w:rPr>
          <w:spacing w:val="-7"/>
        </w:rPr>
        <w:t>据面临的诸多问题，以体系化的方式实现数据的可用、好用，充分释</w:t>
      </w:r>
    </w:p>
    <w:p>
      <w:pPr>
        <w:pStyle w:val="BodyText"/>
        <w:spacing w:line="357" w:lineRule="exact"/>
        <w:ind w:left="1320"/>
      </w:pPr>
      <w:r>
        <w:rPr>
          <w:spacing w:val="-3"/>
        </w:rPr>
        <w:t>放数据价值，具体来看有六个方面的作用：</w:t>
      </w:r>
    </w:p>
    <w:p>
      <w:pPr>
        <w:spacing w:before="79"/>
        <w:ind w:left="0" w:right="1" w:firstLine="0"/>
        <w:jc w:val="center"/>
        <w:rPr>
          <w:rFonts w:ascii="Times New Roman"/>
          <w:sz w:val="18"/>
        </w:rPr>
      </w:pPr>
      <w:r>
        <w:rPr>
          <w:rFonts w:ascii="Times New Roman"/>
          <w:sz w:val="18"/>
        </w:rPr>
        <w:t>4</w:t>
      </w:r>
    </w:p>
    <w:p>
      <w:pPr>
        <w:spacing w:after="0"/>
        <w:jc w:val="center"/>
        <w:rPr>
          <w:rFonts w:ascii="Times New Roman"/>
          <w:sz w:val="18"/>
        </w:rPr>
        <w:sectPr>
          <w:headerReference w:type="default" r:id="rId11"/>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6" w:firstLine="561"/>
        <w:jc w:val="both"/>
      </w:pPr>
      <w:r>
        <w:rPr>
          <w:b/>
        </w:rPr>
        <w:t>一</w:t>
      </w:r>
      <w:r>
        <w:rPr>
          <w:b/>
        </w:rPr>
        <w:t>是</w:t>
      </w:r>
      <w:r>
        <w:rPr>
          <w:b/>
        </w:rPr>
        <w:t>全</w:t>
      </w:r>
      <w:r>
        <w:rPr>
          <w:b/>
        </w:rPr>
        <w:t>面</w:t>
      </w:r>
      <w:r>
        <w:rPr>
          <w:b/>
        </w:rPr>
        <w:t>盘</w:t>
      </w:r>
      <w:r>
        <w:rPr>
          <w:b/>
        </w:rPr>
        <w:t>点</w:t>
      </w:r>
      <w:r>
        <w:rPr>
          <w:b/>
        </w:rPr>
        <w:t>数</w:t>
      </w:r>
      <w:r>
        <w:rPr>
          <w:b/>
        </w:rPr>
        <w:t>据</w:t>
      </w:r>
      <w:r>
        <w:rPr>
          <w:b/>
        </w:rPr>
        <w:t>资</w:t>
      </w:r>
      <w:r>
        <w:rPr>
          <w:b/>
        </w:rPr>
        <w:t>产</w:t>
      </w:r>
      <w:r>
        <w:rPr>
          <w:b/>
        </w:rPr>
        <w:t>。</w:t>
      </w:r>
      <w:r>
        <w:rPr>
          <w:spacing w:val="-10"/>
        </w:rPr>
        <w:t>据 </w:t>
      </w:r>
      <w:r>
        <w:rPr>
          <w:rFonts w:ascii="Times New Roman" w:eastAsia="Times New Roman"/>
        </w:rPr>
        <w:t>IDC</w:t>
      </w:r>
      <w:r>
        <w:rPr>
          <w:rFonts w:ascii="Times New Roman" w:eastAsia="Times New Roman"/>
          <w:spacing w:val="40"/>
        </w:rPr>
        <w:t> </w:t>
      </w:r>
      <w:r>
        <w:rPr>
          <w:spacing w:val="-2"/>
        </w:rPr>
        <w:t>预测，全球数据总量预计 </w:t>
      </w:r>
      <w:r>
        <w:rPr>
          <w:rFonts w:ascii="Times New Roman" w:eastAsia="Times New Roman"/>
        </w:rPr>
        <w:t>2020</w:t>
      </w:r>
      <w:r>
        <w:rPr>
          <w:spacing w:val="-11"/>
        </w:rPr>
        <w:t>年达到 </w:t>
      </w:r>
      <w:r>
        <w:rPr>
          <w:rFonts w:ascii="Times New Roman" w:eastAsia="Times New Roman"/>
          <w:spacing w:val="-4"/>
        </w:rPr>
        <w:t>44</w:t>
      </w:r>
      <w:r>
        <w:rPr>
          <w:rFonts w:ascii="Times New Roman" w:eastAsia="Times New Roman"/>
          <w:spacing w:val="-14"/>
        </w:rPr>
        <w:t> </w:t>
      </w:r>
      <w:r>
        <w:rPr>
          <w:spacing w:val="-18"/>
        </w:rPr>
        <w:t>个 </w:t>
      </w:r>
      <w:r>
        <w:rPr>
          <w:rFonts w:ascii="Times New Roman" w:eastAsia="Times New Roman"/>
          <w:spacing w:val="-4"/>
        </w:rPr>
        <w:t>ZB</w:t>
      </w:r>
      <w:r>
        <w:rPr>
          <w:spacing w:val="-7"/>
        </w:rPr>
        <w:t>，我国数据量将达到 </w:t>
      </w:r>
      <w:r>
        <w:rPr>
          <w:rFonts w:ascii="Times New Roman" w:eastAsia="Times New Roman"/>
          <w:spacing w:val="-4"/>
        </w:rPr>
        <w:t>8060</w:t>
      </w:r>
      <w:r>
        <w:rPr>
          <w:rFonts w:ascii="Times New Roman" w:eastAsia="Times New Roman"/>
          <w:spacing w:val="-12"/>
        </w:rPr>
        <w:t> </w:t>
      </w:r>
      <w:r>
        <w:rPr>
          <w:spacing w:val="-18"/>
        </w:rPr>
        <w:t>个 </w:t>
      </w:r>
      <w:r>
        <w:rPr>
          <w:rFonts w:ascii="Times New Roman" w:eastAsia="Times New Roman"/>
          <w:spacing w:val="-4"/>
        </w:rPr>
        <w:t>EB</w:t>
      </w:r>
      <w:r>
        <w:rPr>
          <w:spacing w:val="-4"/>
        </w:rPr>
        <w:t>，占全球数据总量的 </w:t>
      </w:r>
      <w:r>
        <w:rPr>
          <w:rFonts w:ascii="Times New Roman" w:eastAsia="Times New Roman"/>
        </w:rPr>
        <w:t>18%</w:t>
      </w:r>
      <w:r>
        <w:rPr/>
        <w:t>。</w:t>
      </w:r>
      <w:r>
        <w:rPr>
          <w:rFonts w:ascii="Times New Roman" w:eastAsia="Times New Roman"/>
        </w:rPr>
        <w:t>2025</w:t>
      </w:r>
      <w:r>
        <w:rPr>
          <w:rFonts w:ascii="Times New Roman" w:eastAsia="Times New Roman"/>
          <w:spacing w:val="-18"/>
        </w:rPr>
        <w:t> </w:t>
      </w:r>
      <w:r>
        <w:rPr>
          <w:spacing w:val="-3"/>
        </w:rPr>
        <w:t>年全球大数据规模将增长至 </w:t>
      </w:r>
      <w:r>
        <w:rPr>
          <w:rFonts w:ascii="Times New Roman" w:eastAsia="Times New Roman"/>
        </w:rPr>
        <w:t>163ZB</w:t>
      </w:r>
      <w:r>
        <w:rPr>
          <w:spacing w:val="-7"/>
        </w:rPr>
        <w:t>，相当于 </w:t>
      </w:r>
      <w:r>
        <w:rPr>
          <w:rFonts w:ascii="Times New Roman" w:eastAsia="Times New Roman"/>
        </w:rPr>
        <w:t>2016</w:t>
      </w:r>
      <w:r>
        <w:rPr>
          <w:rFonts w:ascii="Times New Roman" w:eastAsia="Times New Roman"/>
          <w:spacing w:val="-17"/>
        </w:rPr>
        <w:t> </w:t>
      </w:r>
      <w:r>
        <w:rPr>
          <w:spacing w:val="-12"/>
        </w:rPr>
        <w:t>年的 </w:t>
      </w:r>
      <w:r>
        <w:rPr>
          <w:rFonts w:ascii="Times New Roman" w:eastAsia="Times New Roman"/>
        </w:rPr>
        <w:t>10</w:t>
      </w:r>
      <w:r>
        <w:rPr>
          <w:spacing w:val="-2"/>
        </w:rPr>
        <w:t>倍，数据的规模越来越庞大。随着自然语言处理、图像识别、传感器</w:t>
      </w:r>
      <w:r>
        <w:rPr>
          <w:spacing w:val="-2"/>
        </w:rPr>
        <w:t>等技术的不断发展，数据的种类越来越丰富，一个机构对他掌握的数</w:t>
      </w:r>
      <w:r>
        <w:rPr>
          <w:spacing w:val="-2"/>
        </w:rPr>
        <w:t>据类型，缺乏全局管理视图。因此，数据资产管理的切入点是对数据</w:t>
      </w:r>
      <w:r>
        <w:rPr>
          <w:spacing w:val="-19"/>
        </w:rPr>
        <w:t>家当进行全面盘点，形成数据地图，为业务应用和数据获取夯实基础。</w:t>
      </w:r>
    </w:p>
    <w:p>
      <w:pPr>
        <w:pStyle w:val="BodyText"/>
        <w:spacing w:line="417" w:lineRule="auto"/>
        <w:ind w:left="1320" w:right="1314" w:firstLine="561"/>
        <w:jc w:val="both"/>
      </w:pPr>
      <w:r>
        <w:rPr>
          <w:b/>
        </w:rPr>
        <w:t>二</w:t>
      </w:r>
      <w:r>
        <w:rPr>
          <w:b/>
        </w:rPr>
        <w:t>是</w:t>
      </w:r>
      <w:r>
        <w:rPr>
          <w:b/>
        </w:rPr>
        <w:t>不</w:t>
      </w:r>
      <w:r>
        <w:rPr>
          <w:b/>
        </w:rPr>
        <w:t>断</w:t>
      </w:r>
      <w:r>
        <w:rPr>
          <w:b/>
        </w:rPr>
        <w:t>提</w:t>
      </w:r>
      <w:r>
        <w:rPr>
          <w:b/>
        </w:rPr>
        <w:t>升</w:t>
      </w:r>
      <w:r>
        <w:rPr>
          <w:b/>
        </w:rPr>
        <w:t>数</w:t>
      </w:r>
      <w:r>
        <w:rPr>
          <w:b/>
        </w:rPr>
        <w:t>据</w:t>
      </w:r>
      <w:r>
        <w:rPr>
          <w:b/>
        </w:rPr>
        <w:t>质</w:t>
      </w:r>
      <w:r>
        <w:rPr>
          <w:b/>
        </w:rPr>
        <w:t>量</w:t>
      </w:r>
      <w:r>
        <w:rPr>
          <w:b/>
        </w:rPr>
        <w:t>。</w:t>
      </w:r>
      <w:r>
        <w:rPr>
          <w:spacing w:val="-12"/>
        </w:rPr>
        <w:t>早在 </w:t>
      </w:r>
      <w:r>
        <w:rPr>
          <w:rFonts w:ascii="Times New Roman" w:hAnsi="Times New Roman" w:eastAsia="Times New Roman"/>
        </w:rPr>
        <w:t>1957</w:t>
      </w:r>
      <w:r>
        <w:rPr>
          <w:rFonts w:ascii="Times New Roman" w:hAnsi="Times New Roman" w:eastAsia="Times New Roman"/>
          <w:spacing w:val="-18"/>
        </w:rPr>
        <w:t> </w:t>
      </w:r>
      <w:r>
        <w:rPr/>
        <w:t>年的时候，计算机刚刚发明</w:t>
      </w:r>
      <w:r>
        <w:rPr>
          <w:spacing w:val="-4"/>
        </w:rPr>
        <w:t>的时候，大家就意识到数据对于计算机决策的影响，提出 </w:t>
      </w:r>
      <w:r>
        <w:rPr>
          <w:rFonts w:ascii="Times New Roman" w:hAnsi="Times New Roman" w:eastAsia="Times New Roman"/>
          <w:spacing w:val="-2"/>
        </w:rPr>
        <w:t>Garbage</w:t>
      </w:r>
      <w:r>
        <w:rPr>
          <w:rFonts w:ascii="Times New Roman" w:hAnsi="Times New Roman" w:eastAsia="Times New Roman"/>
          <w:spacing w:val="-15"/>
        </w:rPr>
        <w:t> </w:t>
      </w:r>
      <w:r>
        <w:rPr>
          <w:rFonts w:ascii="Times New Roman" w:hAnsi="Times New Roman" w:eastAsia="Times New Roman"/>
          <w:spacing w:val="-2"/>
        </w:rPr>
        <w:t>In </w:t>
      </w:r>
      <w:r>
        <w:rPr>
          <w:rFonts w:ascii="Times New Roman" w:hAnsi="Times New Roman" w:eastAsia="Times New Roman"/>
        </w:rPr>
        <w:t>Garbage</w:t>
      </w:r>
      <w:r>
        <w:rPr>
          <w:rFonts w:ascii="Times New Roman" w:hAnsi="Times New Roman" w:eastAsia="Times New Roman"/>
          <w:spacing w:val="-8"/>
        </w:rPr>
        <w:t> </w:t>
      </w:r>
      <w:r>
        <w:rPr>
          <w:rFonts w:ascii="Times New Roman" w:hAnsi="Times New Roman" w:eastAsia="Times New Roman"/>
        </w:rPr>
        <w:t>Out</w:t>
      </w:r>
      <w:r>
        <w:rPr>
          <w:position w:val="13"/>
          <w:sz w:val="14"/>
        </w:rPr>
        <w:t>②</w:t>
      </w:r>
      <w:r>
        <w:rPr>
          <w:spacing w:val="-24"/>
        </w:rPr>
        <w:t>的警示。</w:t>
      </w:r>
      <w:r>
        <w:rPr>
          <w:rFonts w:ascii="Times New Roman" w:hAnsi="Times New Roman" w:eastAsia="Times New Roman"/>
        </w:rPr>
        <w:t>2001</w:t>
      </w:r>
      <w:r>
        <w:rPr>
          <w:rFonts w:ascii="Times New Roman" w:hAnsi="Times New Roman" w:eastAsia="Times New Roman"/>
          <w:spacing w:val="-9"/>
        </w:rPr>
        <w:t> </w:t>
      </w:r>
      <w:r>
        <w:rPr>
          <w:spacing w:val="-25"/>
        </w:rPr>
        <w:t>年，美国公布《数据质量法案</w:t>
      </w:r>
      <w:r>
        <w:rPr/>
        <w:t>（</w:t>
      </w:r>
      <w:r>
        <w:rPr>
          <w:rFonts w:ascii="Times New Roman" w:hAnsi="Times New Roman" w:eastAsia="Times New Roman"/>
        </w:rPr>
        <w:t>Data</w:t>
      </w:r>
      <w:r>
        <w:rPr>
          <w:rFonts w:ascii="Times New Roman" w:hAnsi="Times New Roman" w:eastAsia="Times New Roman"/>
          <w:spacing w:val="-8"/>
        </w:rPr>
        <w:t> </w:t>
      </w:r>
      <w:r>
        <w:rPr>
          <w:rFonts w:ascii="Times New Roman" w:hAnsi="Times New Roman" w:eastAsia="Times New Roman"/>
        </w:rPr>
        <w:t>Quality </w:t>
      </w:r>
      <w:r>
        <w:rPr>
          <w:rFonts w:ascii="Times New Roman" w:hAnsi="Times New Roman" w:eastAsia="Times New Roman"/>
          <w:spacing w:val="28"/>
        </w:rPr>
        <w:t>A</w:t>
      </w:r>
      <w:r>
        <w:rPr>
          <w:rFonts w:ascii="Times New Roman" w:hAnsi="Times New Roman" w:eastAsia="Times New Roman"/>
          <w:spacing w:val="30"/>
        </w:rPr>
        <w:t>c</w:t>
      </w:r>
      <w:r>
        <w:rPr>
          <w:rFonts w:ascii="Times New Roman" w:hAnsi="Times New Roman" w:eastAsia="Times New Roman"/>
          <w:spacing w:val="28"/>
        </w:rPr>
        <w:t>t</w:t>
      </w:r>
      <w:r>
        <w:rPr>
          <w:spacing w:val="-110"/>
        </w:rPr>
        <w:t>）</w:t>
      </w:r>
      <w:r>
        <w:rPr>
          <w:spacing w:val="-19"/>
        </w:rPr>
        <w:t>》，提出提升数据质量的指导意见。</w:t>
      </w:r>
      <w:r>
        <w:rPr>
          <w:rFonts w:ascii="Times New Roman" w:hAnsi="Times New Roman" w:eastAsia="Times New Roman"/>
          <w:spacing w:val="-6"/>
        </w:rPr>
        <w:t>2016 </w:t>
      </w:r>
      <w:r>
        <w:rPr>
          <w:spacing w:val="-6"/>
        </w:rPr>
        <w:t>年，美国发布国家大数</w:t>
      </w:r>
      <w:r>
        <w:rPr>
          <w:spacing w:val="-4"/>
        </w:rPr>
        <w:t>据战略，其中之一就是希望企业通过数据管理来提升数据质量，确保</w:t>
      </w:r>
      <w:r>
        <w:rPr>
          <w:spacing w:val="-4"/>
        </w:rPr>
        <w:t>数据决策的可信性。糟糕的数据质量常常意味着糟糕的业务决策，将</w:t>
      </w:r>
      <w:r>
        <w:rPr>
          <w:spacing w:val="-4"/>
        </w:rPr>
        <w:t>直接导致数据统计分析不准确、监管业务难、高层领导难以决策等问</w:t>
      </w:r>
      <w:r>
        <w:rPr>
          <w:spacing w:val="-11"/>
        </w:rPr>
        <w:t>题。根据数据质量专家 </w:t>
      </w:r>
      <w:r>
        <w:rPr>
          <w:rFonts w:ascii="Times New Roman" w:hAnsi="Times New Roman" w:eastAsia="Times New Roman"/>
        </w:rPr>
        <w:t>Larry</w:t>
      </w:r>
      <w:r>
        <w:rPr>
          <w:rFonts w:ascii="Times New Roman" w:hAnsi="Times New Roman" w:eastAsia="Times New Roman"/>
          <w:spacing w:val="-18"/>
        </w:rPr>
        <w:t> </w:t>
      </w:r>
      <w:r>
        <w:rPr>
          <w:rFonts w:ascii="Times New Roman" w:hAnsi="Times New Roman" w:eastAsia="Times New Roman"/>
        </w:rPr>
        <w:t>English</w:t>
      </w:r>
      <w:r>
        <w:rPr>
          <w:rFonts w:ascii="Times New Roman" w:hAnsi="Times New Roman" w:eastAsia="Times New Roman"/>
          <w:spacing w:val="-17"/>
        </w:rPr>
        <w:t> </w:t>
      </w:r>
      <w:r>
        <w:rPr>
          <w:spacing w:val="-8"/>
        </w:rPr>
        <w:t>的统计，不良的数据质量使企业</w:t>
      </w:r>
      <w:r>
        <w:rPr>
          <w:w w:val="95"/>
        </w:rPr>
        <w:t>额</w:t>
      </w:r>
      <w:r>
        <w:rPr>
          <w:w w:val="95"/>
        </w:rPr>
        <w:t>外</w:t>
      </w:r>
      <w:r>
        <w:rPr>
          <w:w w:val="95"/>
        </w:rPr>
        <w:t>花</w:t>
      </w:r>
      <w:r>
        <w:rPr>
          <w:w w:val="95"/>
        </w:rPr>
        <w:t>费</w:t>
      </w:r>
      <w:r>
        <w:rPr/>
        <w:t> </w:t>
      </w:r>
      <w:r>
        <w:rPr>
          <w:rFonts w:ascii="Times New Roman" w:hAnsi="Times New Roman" w:eastAsia="Times New Roman"/>
          <w:w w:val="95"/>
        </w:rPr>
        <w:t>15%</w:t>
      </w:r>
      <w:r>
        <w:rPr>
          <w:w w:val="95"/>
        </w:rPr>
        <w:t>到</w:t>
      </w:r>
      <w:r>
        <w:rPr>
          <w:spacing w:val="40"/>
        </w:rPr>
        <w:t> </w:t>
      </w:r>
      <w:r>
        <w:rPr>
          <w:rFonts w:ascii="Times New Roman" w:hAnsi="Times New Roman" w:eastAsia="Times New Roman"/>
          <w:w w:val="95"/>
        </w:rPr>
        <w:t>25%</w:t>
      </w:r>
      <w:r>
        <w:rPr>
          <w:w w:val="95"/>
        </w:rPr>
        <w:t>的</w:t>
      </w:r>
      <w:r>
        <w:rPr>
          <w:w w:val="95"/>
        </w:rPr>
        <w:t>成</w:t>
      </w:r>
      <w:r>
        <w:rPr>
          <w:w w:val="95"/>
        </w:rPr>
        <w:t>本</w:t>
      </w:r>
      <w:r>
        <w:rPr>
          <w:w w:val="95"/>
          <w:position w:val="13"/>
          <w:sz w:val="14"/>
        </w:rPr>
        <w:t>③</w:t>
      </w:r>
      <w:r>
        <w:rPr>
          <w:w w:val="95"/>
        </w:rPr>
        <w:t>。</w:t>
      </w:r>
      <w:r>
        <w:rPr>
          <w:w w:val="95"/>
        </w:rPr>
        <w:t>数</w:t>
      </w:r>
      <w:r>
        <w:rPr>
          <w:w w:val="95"/>
        </w:rPr>
        <w:t>据</w:t>
      </w:r>
      <w:r>
        <w:rPr>
          <w:w w:val="95"/>
        </w:rPr>
        <w:t>能</w:t>
      </w:r>
      <w:r>
        <w:rPr>
          <w:w w:val="95"/>
        </w:rPr>
        <w:t>够</w:t>
      </w:r>
      <w:r>
        <w:rPr>
          <w:w w:val="95"/>
        </w:rPr>
        <w:t>被</w:t>
      </w:r>
      <w:r>
        <w:rPr>
          <w:w w:val="95"/>
        </w:rPr>
        <w:t>当</w:t>
      </w:r>
      <w:r>
        <w:rPr>
          <w:w w:val="95"/>
        </w:rPr>
        <w:t>作</w:t>
      </w:r>
      <w:r>
        <w:rPr>
          <w:w w:val="95"/>
        </w:rPr>
        <w:t>资</w:t>
      </w:r>
      <w:r>
        <w:rPr>
          <w:w w:val="95"/>
        </w:rPr>
        <w:t>产</w:t>
      </w:r>
      <w:r>
        <w:rPr>
          <w:w w:val="95"/>
        </w:rPr>
        <w:t>，</w:t>
      </w:r>
      <w:r>
        <w:rPr>
          <w:w w:val="95"/>
        </w:rPr>
        <w:t>并</w:t>
      </w:r>
      <w:r>
        <w:rPr>
          <w:w w:val="95"/>
        </w:rPr>
        <w:t>发</w:t>
      </w:r>
      <w:r>
        <w:rPr>
          <w:w w:val="95"/>
        </w:rPr>
        <w:t>挥</w:t>
      </w:r>
      <w:r>
        <w:rPr>
          <w:w w:val="95"/>
        </w:rPr>
        <w:t>越</w:t>
      </w:r>
      <w:r>
        <w:rPr>
          <w:w w:val="95"/>
        </w:rPr>
        <w:t>来</w:t>
      </w:r>
      <w:r>
        <w:rPr>
          <w:w w:val="95"/>
        </w:rPr>
        <w:t>越</w:t>
      </w:r>
      <w:r>
        <w:rPr>
          <w:spacing w:val="-2"/>
        </w:rPr>
        <w:t>大的价值，其前提是数据质量的不断提升。</w:t>
      </w:r>
    </w:p>
    <w:p>
      <w:pPr>
        <w:pStyle w:val="BodyText"/>
        <w:spacing w:line="417" w:lineRule="auto"/>
        <w:ind w:left="1320" w:right="1172" w:firstLine="561"/>
      </w:pPr>
      <w:r>
        <w:rPr/>
        <w:pict>
          <v:rect style="position:absolute;margin-left:90.024002pt;margin-top:122.269966pt;width:144.020pt;height:.72003pt;mso-position-horizontal-relative:page;mso-position-vertical-relative:paragraph;z-index:-17811968" id="docshape25" filled="true" fillcolor="#000000" stroked="false">
            <v:fill type="solid"/>
            <w10:wrap type="none"/>
          </v:rect>
        </w:pict>
      </w:r>
      <w:r>
        <w:rPr>
          <w:b/>
          <w:spacing w:val="-6"/>
          <w:w w:val="99"/>
        </w:rPr>
        <w:t>三是实现数据互联互通。</w:t>
      </w:r>
      <w:r>
        <w:rPr>
          <w:spacing w:val="-7"/>
          <w:w w:val="100"/>
        </w:rPr>
        <w:t>传统的信息系统建设都是烟囱式的，各</w:t>
      </w:r>
      <w:r>
        <w:rPr>
          <w:spacing w:val="-1"/>
          <w:w w:val="100"/>
        </w:rPr>
        <w:t>个部门各自存储数据，也缺乏数据跨部门共享的管理机制。据统计，</w:t>
      </w:r>
      <w:r>
        <w:rPr>
          <w:w w:val="100"/>
        </w:rPr>
        <w:t> </w:t>
      </w:r>
      <w:r>
        <w:rPr>
          <w:rFonts w:ascii="Times New Roman" w:hAnsi="Times New Roman" w:eastAsia="Times New Roman"/>
          <w:spacing w:val="1"/>
          <w:w w:val="100"/>
        </w:rPr>
        <w:t>98</w:t>
      </w:r>
      <w:r>
        <w:rPr>
          <w:rFonts w:ascii="Times New Roman" w:hAnsi="Times New Roman" w:eastAsia="Times New Roman"/>
          <w:spacing w:val="-2"/>
          <w:w w:val="100"/>
        </w:rPr>
        <w:t>%</w:t>
      </w:r>
      <w:r>
        <w:rPr>
          <w:spacing w:val="2"/>
          <w:w w:val="100"/>
        </w:rPr>
        <w:t>的企业都存在数据孤岛问题</w:t>
      </w:r>
      <w:r>
        <w:rPr>
          <w:spacing w:val="2"/>
          <w:w w:val="99"/>
          <w:position w:val="13"/>
          <w:sz w:val="14"/>
        </w:rPr>
        <w:t>④</w:t>
      </w:r>
      <w:r>
        <w:rPr>
          <w:spacing w:val="2"/>
          <w:w w:val="100"/>
        </w:rPr>
        <w:t>。造成数据孤岛的原因既包括技术</w:t>
      </w:r>
      <w:r>
        <w:rPr>
          <w:spacing w:val="-11"/>
          <w:w w:val="100"/>
        </w:rPr>
        <w:t>上的，也包括标准和管理制度上的。在大数据时代，要实现数字化转</w:t>
      </w:r>
    </w:p>
    <w:p>
      <w:pPr>
        <w:spacing w:before="48"/>
        <w:ind w:left="1320" w:right="0" w:firstLine="0"/>
        <w:jc w:val="left"/>
        <w:rPr>
          <w:rFonts w:ascii="Times New Roman" w:hAnsi="Times New Roman"/>
          <w:sz w:val="18"/>
        </w:rPr>
      </w:pPr>
      <w:r>
        <w:rPr>
          <w:rFonts w:ascii="宋体" w:hAnsi="宋体"/>
          <w:position w:val="9"/>
          <w:sz w:val="9"/>
        </w:rPr>
        <w:t>②</w:t>
      </w:r>
      <w:r>
        <w:rPr>
          <w:rFonts w:ascii="宋体" w:hAnsi="宋体"/>
          <w:spacing w:val="46"/>
          <w:position w:val="9"/>
          <w:sz w:val="9"/>
        </w:rPr>
        <w:t> </w:t>
      </w:r>
      <w:r>
        <w:rPr>
          <w:rFonts w:ascii="Times New Roman" w:hAnsi="Times New Roman"/>
          <w:spacing w:val="-2"/>
          <w:sz w:val="18"/>
        </w:rPr>
        <w:t>https://en.wikipedia.org/wiki/Garbage_in,_garbage_out</w:t>
      </w:r>
    </w:p>
    <w:p>
      <w:pPr>
        <w:spacing w:line="219" w:lineRule="exact" w:before="2"/>
        <w:ind w:left="1320" w:right="0" w:firstLine="0"/>
        <w:jc w:val="left"/>
        <w:rPr>
          <w:rFonts w:ascii="Times New Roman" w:hAnsi="Times New Roman"/>
          <w:sz w:val="18"/>
        </w:rPr>
      </w:pPr>
      <w:r>
        <w:rPr>
          <w:rFonts w:ascii="宋体" w:hAnsi="宋体"/>
          <w:spacing w:val="-2"/>
          <w:position w:val="9"/>
          <w:sz w:val="9"/>
        </w:rPr>
        <w:t>③</w:t>
      </w:r>
      <w:r>
        <w:rPr>
          <w:rFonts w:ascii="宋体" w:hAnsi="宋体"/>
          <w:spacing w:val="72"/>
          <w:position w:val="9"/>
          <w:sz w:val="9"/>
        </w:rPr>
        <w:t>  </w:t>
      </w:r>
      <w:r>
        <w:rPr>
          <w:rFonts w:ascii="Times New Roman" w:hAnsi="Times New Roman"/>
          <w:spacing w:val="-2"/>
          <w:sz w:val="18"/>
        </w:rPr>
        <w:t>https://searchdatamanagement.techtarget.com/podcast/Data-quality-trends-with-expert-Larry-English</w:t>
      </w:r>
    </w:p>
    <w:p>
      <w:pPr>
        <w:spacing w:line="219" w:lineRule="exact" w:before="0"/>
        <w:ind w:left="1320" w:right="0" w:firstLine="0"/>
        <w:jc w:val="left"/>
        <w:rPr>
          <w:rFonts w:ascii="Times New Roman" w:hAnsi="Times New Roman"/>
          <w:sz w:val="18"/>
        </w:rPr>
      </w:pPr>
      <w:r>
        <w:rPr>
          <w:rFonts w:ascii="宋体" w:hAnsi="宋体"/>
          <w:spacing w:val="-2"/>
          <w:position w:val="9"/>
          <w:sz w:val="9"/>
        </w:rPr>
        <w:t>④</w:t>
      </w:r>
      <w:r>
        <w:rPr>
          <w:rFonts w:ascii="宋体" w:hAnsi="宋体"/>
          <w:spacing w:val="58"/>
          <w:position w:val="9"/>
          <w:sz w:val="9"/>
        </w:rPr>
        <w:t>  </w:t>
      </w:r>
      <w:r>
        <w:rPr>
          <w:rFonts w:ascii="Times New Roman" w:hAnsi="Times New Roman"/>
          <w:spacing w:val="-2"/>
          <w:sz w:val="18"/>
        </w:rPr>
        <w:t>https://dzone.com/articles/data-silos-are-the-greatest-stumbling-block-to-</w:t>
      </w:r>
      <w:r>
        <w:rPr>
          <w:rFonts w:ascii="Times New Roman" w:hAnsi="Times New Roman"/>
          <w:spacing w:val="-5"/>
          <w:sz w:val="18"/>
        </w:rPr>
        <w:t>an</w:t>
      </w:r>
    </w:p>
    <w:p>
      <w:pPr>
        <w:pStyle w:val="BodyText"/>
        <w:spacing w:before="5"/>
        <w:rPr>
          <w:rFonts w:ascii="Times New Roman"/>
          <w:sz w:val="13"/>
        </w:rPr>
      </w:pPr>
    </w:p>
    <w:p>
      <w:pPr>
        <w:spacing w:before="92"/>
        <w:ind w:left="0" w:right="1" w:firstLine="0"/>
        <w:jc w:val="center"/>
        <w:rPr>
          <w:rFonts w:ascii="Times New Roman"/>
          <w:sz w:val="18"/>
        </w:rPr>
      </w:pPr>
      <w:r>
        <w:rPr>
          <w:rFonts w:ascii="Times New Roman"/>
          <w:sz w:val="18"/>
        </w:rPr>
        <w:t>5</w:t>
      </w:r>
    </w:p>
    <w:p>
      <w:pPr>
        <w:spacing w:after="0"/>
        <w:jc w:val="center"/>
        <w:rPr>
          <w:rFonts w:ascii="Times New Roman"/>
          <w:sz w:val="18"/>
        </w:rPr>
        <w:sectPr>
          <w:headerReference w:type="default" r:id="rId12"/>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6"/>
      </w:pPr>
      <w:r>
        <w:rPr>
          <w:spacing w:val="-8"/>
        </w:rPr>
        <w:t>型，打破数据孤岛、实现数据互联互通不仅对于一个单一机构具有重</w:t>
      </w:r>
      <w:r>
        <w:rPr>
          <w:spacing w:val="-2"/>
        </w:rPr>
        <w:t>要意义，对整个社会也具有深远意义。</w:t>
      </w:r>
    </w:p>
    <w:p>
      <w:pPr>
        <w:pStyle w:val="BodyText"/>
        <w:spacing w:line="417" w:lineRule="auto"/>
        <w:ind w:left="1320" w:right="1180" w:firstLine="561"/>
        <w:jc w:val="both"/>
      </w:pPr>
      <w:r>
        <w:rPr>
          <w:b/>
        </w:rPr>
        <w:t>四</w:t>
      </w:r>
      <w:r>
        <w:rPr>
          <w:b/>
        </w:rPr>
        <w:t>是</w:t>
      </w:r>
      <w:r>
        <w:rPr>
          <w:b/>
        </w:rPr>
        <w:t>提</w:t>
      </w:r>
      <w:r>
        <w:rPr>
          <w:b/>
        </w:rPr>
        <w:t>高</w:t>
      </w:r>
      <w:r>
        <w:rPr>
          <w:b/>
        </w:rPr>
        <w:t>数</w:t>
      </w:r>
      <w:r>
        <w:rPr>
          <w:b/>
        </w:rPr>
        <w:t>据</w:t>
      </w:r>
      <w:r>
        <w:rPr>
          <w:b/>
        </w:rPr>
        <w:t>获</w:t>
      </w:r>
      <w:r>
        <w:rPr>
          <w:b/>
        </w:rPr>
        <w:t>取</w:t>
      </w:r>
      <w:r>
        <w:rPr>
          <w:b/>
        </w:rPr>
        <w:t>效</w:t>
      </w:r>
      <w:r>
        <w:rPr>
          <w:b/>
        </w:rPr>
        <w:t>率</w:t>
      </w:r>
      <w:r>
        <w:rPr>
          <w:b/>
          <w:spacing w:val="-63"/>
        </w:rPr>
        <w:t>。</w:t>
      </w:r>
      <w:r>
        <w:rPr>
          <w:spacing w:val="-8"/>
        </w:rPr>
        <w:t>一般来说，数据分析人员 </w:t>
      </w:r>
      <w:r>
        <w:rPr>
          <w:rFonts w:ascii="Times New Roman" w:eastAsia="Times New Roman"/>
        </w:rPr>
        <w:t>80%</w:t>
      </w:r>
      <w:r>
        <w:rPr/>
        <w:t>的精力都</w:t>
      </w:r>
      <w:r>
        <w:rPr>
          <w:spacing w:val="-2"/>
        </w:rPr>
        <w:t>花在了数据准备上。业务人员可能会有突发的数据使用需求，希望快</w:t>
      </w:r>
      <w:r>
        <w:rPr>
          <w:spacing w:val="-2"/>
        </w:rPr>
        <w:t>速地获取真实、完整和规范的数据，但是由于数据孤岛、数据质量不</w:t>
      </w:r>
      <w:r>
        <w:rPr>
          <w:spacing w:val="-2"/>
        </w:rPr>
        <w:t>高、缺乏平台和工具等原因，业务人员无法及时有效获取数据。让数</w:t>
      </w:r>
      <w:r>
        <w:rPr>
          <w:spacing w:val="-12"/>
        </w:rPr>
        <w:t>据随时快速有效就绪，缩短数据分析人员和数据科学家的数据准备时</w:t>
      </w:r>
      <w:r>
        <w:rPr>
          <w:spacing w:val="-1"/>
        </w:rPr>
        <w:t>间，就需要在技术平台、数据质量和数据共享等方面采取综合措施。</w:t>
      </w:r>
    </w:p>
    <w:p>
      <w:pPr>
        <w:pStyle w:val="BodyText"/>
        <w:spacing w:line="417" w:lineRule="auto"/>
        <w:ind w:left="1320" w:right="1311" w:firstLine="561"/>
        <w:jc w:val="both"/>
      </w:pPr>
      <w:r>
        <w:rPr>
          <w:b/>
          <w:spacing w:val="-2"/>
        </w:rPr>
        <w:t>五</w:t>
      </w:r>
      <w:r>
        <w:rPr>
          <w:b/>
          <w:spacing w:val="-2"/>
        </w:rPr>
        <w:t>是</w:t>
      </w:r>
      <w:r>
        <w:rPr>
          <w:b/>
          <w:spacing w:val="-2"/>
        </w:rPr>
        <w:t>保</w:t>
      </w:r>
      <w:r>
        <w:rPr>
          <w:b/>
          <w:spacing w:val="-2"/>
        </w:rPr>
        <w:t>障</w:t>
      </w:r>
      <w:r>
        <w:rPr>
          <w:b/>
          <w:spacing w:val="-2"/>
        </w:rPr>
        <w:t>数</w:t>
      </w:r>
      <w:r>
        <w:rPr>
          <w:b/>
          <w:spacing w:val="-2"/>
        </w:rPr>
        <w:t>据</w:t>
      </w:r>
      <w:r>
        <w:rPr>
          <w:b/>
          <w:spacing w:val="-2"/>
        </w:rPr>
        <w:t>安</w:t>
      </w:r>
      <w:r>
        <w:rPr>
          <w:b/>
          <w:spacing w:val="-2"/>
        </w:rPr>
        <w:t>全</w:t>
      </w:r>
      <w:r>
        <w:rPr>
          <w:b/>
          <w:spacing w:val="-2"/>
        </w:rPr>
        <w:t>合</w:t>
      </w:r>
      <w:r>
        <w:rPr>
          <w:b/>
          <w:spacing w:val="-29"/>
        </w:rPr>
        <w:t>规。</w:t>
      </w:r>
      <w:r>
        <w:rPr>
          <w:spacing w:val="-6"/>
        </w:rPr>
        <w:t>随着各个机构数据的快速累积，一旦发</w:t>
      </w:r>
      <w:r>
        <w:rPr>
          <w:spacing w:val="-9"/>
        </w:rPr>
        <w:t>生数据安全事件，其危害性将越来越大。数据安全造成的风险主要包</w:t>
      </w:r>
      <w:r>
        <w:rPr>
          <w:spacing w:val="18"/>
        </w:rPr>
        <w:t>括数据泄露与数据滥用等</w:t>
      </w:r>
      <w:r>
        <w:rPr>
          <w:b/>
          <w:spacing w:val="21"/>
        </w:rPr>
        <w:t>。</w:t>
      </w:r>
      <w:r>
        <w:rPr>
          <w:spacing w:val="18"/>
        </w:rPr>
        <w:t>根据数据泄露水平指数</w:t>
      </w:r>
      <w:r>
        <w:rPr>
          <w:rFonts w:ascii="Times New Roman" w:hAnsi="Times New Roman" w:eastAsia="Times New Roman"/>
        </w:rPr>
        <w:t>(Breach Level </w:t>
      </w:r>
      <w:r>
        <w:rPr>
          <w:rFonts w:ascii="Times New Roman" w:hAnsi="Times New Roman" w:eastAsia="Times New Roman"/>
          <w:spacing w:val="-2"/>
        </w:rPr>
        <w:t>Index)</w:t>
      </w:r>
      <w:r>
        <w:rPr>
          <w:spacing w:val="-9"/>
        </w:rPr>
        <w:t>监测，自 </w:t>
      </w:r>
      <w:r>
        <w:rPr>
          <w:rFonts w:ascii="Times New Roman" w:hAnsi="Times New Roman" w:eastAsia="Times New Roman"/>
          <w:spacing w:val="-2"/>
        </w:rPr>
        <w:t>2013</w:t>
      </w:r>
      <w:r>
        <w:rPr>
          <w:rFonts w:ascii="Times New Roman" w:hAnsi="Times New Roman" w:eastAsia="Times New Roman"/>
          <w:spacing w:val="-16"/>
        </w:rPr>
        <w:t> </w:t>
      </w:r>
      <w:r>
        <w:rPr>
          <w:spacing w:val="-5"/>
        </w:rPr>
        <w:t>年以来全球数据泄露高达 </w:t>
      </w:r>
      <w:r>
        <w:rPr>
          <w:rFonts w:ascii="Times New Roman" w:hAnsi="Times New Roman" w:eastAsia="Times New Roman"/>
          <w:spacing w:val="-2"/>
        </w:rPr>
        <w:t>130</w:t>
      </w:r>
      <w:r>
        <w:rPr>
          <w:rFonts w:ascii="Times New Roman" w:hAnsi="Times New Roman" w:eastAsia="Times New Roman"/>
          <w:spacing w:val="2"/>
        </w:rPr>
        <w:t> </w:t>
      </w:r>
      <w:r>
        <w:rPr>
          <w:spacing w:val="-2"/>
        </w:rPr>
        <w:t>亿条</w:t>
      </w:r>
      <w:r>
        <w:rPr>
          <w:spacing w:val="-2"/>
          <w:position w:val="13"/>
          <w:sz w:val="14"/>
        </w:rPr>
        <w:t>⑤</w:t>
      </w:r>
      <w:r>
        <w:rPr>
          <w:spacing w:val="-2"/>
        </w:rPr>
        <w:t>，其中很多</w:t>
      </w:r>
      <w:r>
        <w:rPr>
          <w:spacing w:val="-4"/>
        </w:rPr>
        <w:t>都是由于管理制度不完善造成的。</w:t>
      </w:r>
      <w:r>
        <w:rPr>
          <w:rFonts w:ascii="Times New Roman" w:hAnsi="Times New Roman" w:eastAsia="Times New Roman"/>
          <w:spacing w:val="-4"/>
        </w:rPr>
        <w:t>2018</w:t>
      </w:r>
      <w:r>
        <w:rPr>
          <w:rFonts w:ascii="Times New Roman" w:hAnsi="Times New Roman" w:eastAsia="Times New Roman"/>
          <w:spacing w:val="-16"/>
        </w:rPr>
        <w:t> </w:t>
      </w:r>
      <w:r>
        <w:rPr>
          <w:spacing w:val="-18"/>
        </w:rPr>
        <w:t>年 </w:t>
      </w:r>
      <w:r>
        <w:rPr>
          <w:rFonts w:ascii="Times New Roman" w:hAnsi="Times New Roman" w:eastAsia="Times New Roman"/>
          <w:spacing w:val="-4"/>
        </w:rPr>
        <w:t>3</w:t>
      </w:r>
      <w:r>
        <w:rPr>
          <w:rFonts w:ascii="Times New Roman" w:hAnsi="Times New Roman" w:eastAsia="Times New Roman"/>
          <w:spacing w:val="-13"/>
        </w:rPr>
        <w:t> </w:t>
      </w:r>
      <w:r>
        <w:rPr>
          <w:spacing w:val="-4"/>
        </w:rPr>
        <w:t>月，脸书（</w:t>
      </w:r>
      <w:r>
        <w:rPr>
          <w:rFonts w:ascii="Times New Roman" w:hAnsi="Times New Roman" w:eastAsia="Times New Roman"/>
          <w:spacing w:val="-4"/>
        </w:rPr>
        <w:t>Facebook</w:t>
      </w:r>
      <w:r>
        <w:rPr>
          <w:spacing w:val="-4"/>
        </w:rPr>
        <w:t>）被</w:t>
      </w:r>
      <w:r>
        <w:rPr>
          <w:spacing w:val="26"/>
          <w:w w:val="95"/>
        </w:rPr>
        <w:t>曝</w:t>
      </w:r>
      <w:r>
        <w:rPr>
          <w:spacing w:val="26"/>
          <w:w w:val="95"/>
        </w:rPr>
        <w:t>光</w:t>
      </w:r>
      <w:r>
        <w:rPr>
          <w:spacing w:val="26"/>
          <w:w w:val="95"/>
        </w:rPr>
        <w:t>，</w:t>
      </w:r>
      <w:r>
        <w:rPr>
          <w:spacing w:val="26"/>
          <w:w w:val="95"/>
        </w:rPr>
        <w:t>将</w:t>
      </w:r>
      <w:r>
        <w:rPr>
          <w:spacing w:val="26"/>
          <w:w w:val="95"/>
        </w:rPr>
        <w:t>超</w:t>
      </w:r>
      <w:r>
        <w:rPr>
          <w:spacing w:val="26"/>
          <w:w w:val="95"/>
        </w:rPr>
        <w:t>过</w:t>
      </w:r>
      <w:r>
        <w:rPr>
          <w:spacing w:val="26"/>
          <w:w w:val="95"/>
        </w:rPr>
        <w:t>五</w:t>
      </w:r>
      <w:r>
        <w:rPr>
          <w:spacing w:val="26"/>
          <w:w w:val="95"/>
        </w:rPr>
        <w:t>千</w:t>
      </w:r>
      <w:r>
        <w:rPr>
          <w:spacing w:val="26"/>
          <w:w w:val="95"/>
        </w:rPr>
        <w:t>万</w:t>
      </w:r>
      <w:r>
        <w:rPr>
          <w:spacing w:val="26"/>
          <w:w w:val="95"/>
        </w:rPr>
        <w:t>用</w:t>
      </w:r>
      <w:r>
        <w:rPr>
          <w:spacing w:val="26"/>
          <w:w w:val="95"/>
        </w:rPr>
        <w:t>户</w:t>
      </w:r>
      <w:r>
        <w:rPr>
          <w:spacing w:val="26"/>
          <w:w w:val="95"/>
        </w:rPr>
        <w:t>信</w:t>
      </w:r>
      <w:r>
        <w:rPr>
          <w:spacing w:val="26"/>
          <w:w w:val="95"/>
        </w:rPr>
        <w:t>息</w:t>
      </w:r>
      <w:r>
        <w:rPr>
          <w:spacing w:val="26"/>
          <w:w w:val="95"/>
        </w:rPr>
        <w:t>数</w:t>
      </w:r>
      <w:r>
        <w:rPr>
          <w:spacing w:val="26"/>
          <w:w w:val="95"/>
        </w:rPr>
        <w:t>据</w:t>
      </w:r>
      <w:r>
        <w:rPr>
          <w:spacing w:val="26"/>
          <w:w w:val="95"/>
        </w:rPr>
        <w:t>提</w:t>
      </w:r>
      <w:r>
        <w:rPr>
          <w:spacing w:val="26"/>
          <w:w w:val="95"/>
        </w:rPr>
        <w:t>供</w:t>
      </w:r>
      <w:r>
        <w:rPr>
          <w:spacing w:val="26"/>
          <w:w w:val="95"/>
        </w:rPr>
        <w:t>给</w:t>
      </w:r>
      <w:r>
        <w:rPr>
          <w:spacing w:val="26"/>
          <w:w w:val="95"/>
        </w:rPr>
        <w:t>剑</w:t>
      </w:r>
      <w:r>
        <w:rPr>
          <w:spacing w:val="26"/>
          <w:w w:val="95"/>
        </w:rPr>
        <w:t>桥</w:t>
      </w:r>
      <w:r>
        <w:rPr>
          <w:spacing w:val="26"/>
          <w:w w:val="95"/>
        </w:rPr>
        <w:t>分</w:t>
      </w:r>
      <w:r>
        <w:rPr>
          <w:spacing w:val="26"/>
          <w:w w:val="95"/>
        </w:rPr>
        <w:t>析</w:t>
      </w:r>
      <w:r>
        <w:rPr>
          <w:w w:val="95"/>
        </w:rPr>
        <w:t>（ </w:t>
      </w:r>
      <w:r>
        <w:rPr>
          <w:rFonts w:ascii="Times New Roman" w:hAnsi="Times New Roman" w:eastAsia="Times New Roman"/>
          <w:w w:val="95"/>
        </w:rPr>
        <w:t>Cambirdge </w:t>
      </w:r>
      <w:r>
        <w:rPr>
          <w:rFonts w:ascii="Times New Roman" w:hAnsi="Times New Roman" w:eastAsia="Times New Roman"/>
          <w:spacing w:val="-2"/>
        </w:rPr>
        <w:t>Analytica</w:t>
      </w:r>
      <w:r>
        <w:rPr>
          <w:spacing w:val="-2"/>
        </w:rPr>
        <w:t>）咨询公司用于定向投放广告，这起数据滥用事件在全球引</w:t>
      </w:r>
      <w:r>
        <w:rPr>
          <w:spacing w:val="-2"/>
        </w:rPr>
        <w:t>起轩然大波。所以，保障安全是数据资产管理和价值开发的底线。</w:t>
      </w:r>
    </w:p>
    <w:p>
      <w:pPr>
        <w:pStyle w:val="BodyText"/>
        <w:spacing w:line="417" w:lineRule="auto"/>
        <w:ind w:left="1320" w:right="1178" w:firstLine="561"/>
      </w:pPr>
      <w:r>
        <w:rPr>
          <w:b/>
          <w:spacing w:val="-2"/>
        </w:rPr>
        <w:t>六</w:t>
      </w:r>
      <w:r>
        <w:rPr>
          <w:b/>
          <w:spacing w:val="-2"/>
        </w:rPr>
        <w:t>是</w:t>
      </w:r>
      <w:r>
        <w:rPr>
          <w:b/>
          <w:spacing w:val="-2"/>
        </w:rPr>
        <w:t>数</w:t>
      </w:r>
      <w:r>
        <w:rPr>
          <w:b/>
          <w:spacing w:val="-2"/>
        </w:rPr>
        <w:t>据</w:t>
      </w:r>
      <w:r>
        <w:rPr>
          <w:b/>
          <w:spacing w:val="-2"/>
        </w:rPr>
        <w:t>价</w:t>
      </w:r>
      <w:r>
        <w:rPr>
          <w:b/>
          <w:spacing w:val="-2"/>
        </w:rPr>
        <w:t>值</w:t>
      </w:r>
      <w:r>
        <w:rPr>
          <w:b/>
          <w:spacing w:val="-2"/>
        </w:rPr>
        <w:t>持</w:t>
      </w:r>
      <w:r>
        <w:rPr>
          <w:b/>
          <w:spacing w:val="-2"/>
        </w:rPr>
        <w:t>续</w:t>
      </w:r>
      <w:r>
        <w:rPr>
          <w:b/>
          <w:spacing w:val="-2"/>
        </w:rPr>
        <w:t>释</w:t>
      </w:r>
      <w:r>
        <w:rPr>
          <w:b/>
          <w:spacing w:val="-64"/>
        </w:rPr>
        <w:t>放。</w:t>
      </w:r>
      <w:r>
        <w:rPr>
          <w:spacing w:val="-14"/>
        </w:rPr>
        <w:t>目前，数据的价值还没有得到充分释放，</w:t>
      </w:r>
      <w:r>
        <w:rPr>
          <w:spacing w:val="-6"/>
        </w:rPr>
        <w:t>是因为大部分企业还没有建立起一个有效管理和应用数据的模式。数</w:t>
      </w:r>
      <w:r>
        <w:rPr>
          <w:spacing w:val="-2"/>
        </w:rPr>
        <w:t>据资产管理是一个持续和动态的过程，应随着技术、市场、产业的变</w:t>
      </w:r>
      <w:r>
        <w:rPr>
          <w:spacing w:val="-4"/>
        </w:rPr>
        <w:t>化不断迭代，使数据资产能够为数字化转型提供源源不断的动力。从</w:t>
      </w:r>
      <w:r>
        <w:rPr>
          <w:spacing w:val="-9"/>
        </w:rPr>
        <w:t>企业高管到业务人员及技术人员，全员都要以持续释放数据价值为理</w:t>
      </w:r>
    </w:p>
    <w:p>
      <w:pPr>
        <w:pStyle w:val="BodyText"/>
        <w:spacing w:before="1"/>
      </w:pPr>
      <w:r>
        <w:rPr/>
        <w:pict>
          <v:rect style="position:absolute;margin-left:90.024002pt;margin-top:19.230696pt;width:144.020pt;height:.72003pt;mso-position-horizontal-relative:page;mso-position-vertical-relative:paragraph;z-index:-15724544;mso-wrap-distance-left:0;mso-wrap-distance-right:0" id="docshape29" filled="true" fillcolor="#000000" stroked="false">
            <v:fill type="solid"/>
            <w10:wrap type="topAndBottom"/>
          </v:rect>
        </w:pict>
      </w:r>
    </w:p>
    <w:p>
      <w:pPr>
        <w:spacing w:before="88"/>
        <w:ind w:left="1329" w:right="6896" w:firstLine="0"/>
        <w:jc w:val="center"/>
        <w:rPr>
          <w:rFonts w:ascii="Times New Roman" w:hAnsi="Times New Roman"/>
          <w:sz w:val="18"/>
        </w:rPr>
      </w:pPr>
      <w:r>
        <w:rPr>
          <w:rFonts w:ascii="宋体" w:hAnsi="宋体"/>
          <w:position w:val="9"/>
          <w:sz w:val="9"/>
        </w:rPr>
        <w:t>⑤</w:t>
      </w:r>
      <w:r>
        <w:rPr>
          <w:rFonts w:ascii="宋体" w:hAnsi="宋体"/>
          <w:spacing w:val="46"/>
          <w:position w:val="9"/>
          <w:sz w:val="9"/>
        </w:rPr>
        <w:t> </w:t>
      </w:r>
      <w:r>
        <w:rPr>
          <w:rFonts w:ascii="Times New Roman" w:hAnsi="Times New Roman"/>
          <w:spacing w:val="-2"/>
          <w:sz w:val="18"/>
        </w:rPr>
        <w:t>https://</w:t>
      </w:r>
      <w:hyperlink r:id="rId14">
        <w:r>
          <w:rPr>
            <w:rFonts w:ascii="Times New Roman" w:hAnsi="Times New Roman"/>
            <w:spacing w:val="-2"/>
            <w:sz w:val="18"/>
          </w:rPr>
          <w:t>www.breachlevelindex.com/</w:t>
        </w:r>
      </w:hyperlink>
    </w:p>
    <w:p>
      <w:pPr>
        <w:spacing w:before="29"/>
        <w:ind w:left="0" w:right="1" w:firstLine="0"/>
        <w:jc w:val="center"/>
        <w:rPr>
          <w:rFonts w:ascii="Times New Roman"/>
          <w:sz w:val="18"/>
        </w:rPr>
      </w:pPr>
      <w:r>
        <w:rPr>
          <w:rFonts w:ascii="Times New Roman"/>
          <w:sz w:val="18"/>
        </w:rPr>
        <w:t>6</w:t>
      </w:r>
    </w:p>
    <w:p>
      <w:pPr>
        <w:spacing w:after="0"/>
        <w:jc w:val="center"/>
        <w:rPr>
          <w:rFonts w:ascii="Times New Roman"/>
          <w:sz w:val="18"/>
        </w:rPr>
        <w:sectPr>
          <w:headerReference w:type="default" r:id="rId13"/>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4"/>
        <w:jc w:val="both"/>
      </w:pPr>
      <w:r>
        <w:rPr>
          <w:spacing w:val="-6"/>
        </w:rPr>
        <w:t>念来重视数据资源管理工作。管理方面，需要建立一套符合数据驱动</w:t>
      </w:r>
      <w:r>
        <w:rPr>
          <w:spacing w:val="-4"/>
        </w:rPr>
        <w:t>的组织管理制度和流程。技术方面，需要建设现代化数据平台、引入</w:t>
      </w:r>
      <w:r>
        <w:rPr>
          <w:spacing w:val="-5"/>
        </w:rPr>
        <w:t>智能化技术，确保数据资产管理系统平台持续、健康地为数据资产管</w:t>
      </w:r>
      <w:r>
        <w:rPr>
          <w:spacing w:val="-4"/>
        </w:rPr>
        <w:t>理体系服务。国际上提出 </w:t>
      </w:r>
      <w:r>
        <w:rPr>
          <w:rFonts w:ascii="Times New Roman" w:hAnsi="Times New Roman" w:eastAsia="Times New Roman"/>
        </w:rPr>
        <w:t>DataOps</w:t>
      </w:r>
      <w:r>
        <w:rPr>
          <w:position w:val="13"/>
          <w:sz w:val="14"/>
        </w:rPr>
        <w:t>⑥</w:t>
      </w:r>
      <w:r>
        <w:rPr/>
        <w:t>的理念可供借鉴。</w:t>
      </w:r>
    </w:p>
    <w:p>
      <w:pPr>
        <w:pStyle w:val="Heading2"/>
        <w:spacing w:before="211"/>
        <w:ind w:left="1961"/>
      </w:pPr>
      <w:bookmarkStart w:name="_bookmark10" w:id="11"/>
      <w:bookmarkEnd w:id="11"/>
      <w:r>
        <w:rPr>
          <w:b w:val="0"/>
        </w:rPr>
      </w:r>
      <w:r>
        <w:rPr>
          <w:rFonts w:ascii="Times New Roman" w:eastAsia="Times New Roman"/>
          <w:w w:val="95"/>
        </w:rPr>
        <w:t>(</w:t>
      </w:r>
      <w:r>
        <w:rPr>
          <w:w w:val="95"/>
        </w:rPr>
        <w:t>三</w:t>
      </w:r>
      <w:r>
        <w:rPr>
          <w:rFonts w:ascii="Times New Roman" w:eastAsia="Times New Roman"/>
          <w:w w:val="95"/>
        </w:rPr>
        <w:t>)</w:t>
      </w:r>
      <w:r>
        <w:rPr>
          <w:rFonts w:ascii="Times New Roman" w:eastAsia="Times New Roman"/>
          <w:spacing w:val="43"/>
          <w:w w:val="150"/>
        </w:rPr>
        <w:t>  </w:t>
      </w:r>
      <w:r>
        <w:rPr>
          <w:w w:val="95"/>
        </w:rPr>
        <w:t>数</w:t>
      </w:r>
      <w:r>
        <w:rPr>
          <w:w w:val="95"/>
        </w:rPr>
        <w:t>据</w:t>
      </w:r>
      <w:r>
        <w:rPr>
          <w:w w:val="95"/>
        </w:rPr>
        <w:t>资</w:t>
      </w:r>
      <w:r>
        <w:rPr>
          <w:w w:val="95"/>
        </w:rPr>
        <w:t>产</w:t>
      </w:r>
      <w:r>
        <w:rPr>
          <w:w w:val="95"/>
        </w:rPr>
        <w:t>管</w:t>
      </w:r>
      <w:r>
        <w:rPr>
          <w:w w:val="95"/>
        </w:rPr>
        <w:t>理是</w:t>
      </w:r>
      <w:r>
        <w:rPr>
          <w:w w:val="95"/>
        </w:rPr>
        <w:t>各</w:t>
      </w:r>
      <w:r>
        <w:rPr>
          <w:w w:val="95"/>
        </w:rPr>
        <w:t>方</w:t>
      </w:r>
      <w:r>
        <w:rPr>
          <w:w w:val="95"/>
        </w:rPr>
        <w:t>关</w:t>
      </w:r>
      <w:r>
        <w:rPr>
          <w:w w:val="95"/>
        </w:rPr>
        <w:t>注</w:t>
      </w:r>
      <w:r>
        <w:rPr>
          <w:w w:val="95"/>
        </w:rPr>
        <w:t>的</w:t>
      </w:r>
      <w:r>
        <w:rPr>
          <w:w w:val="95"/>
        </w:rPr>
        <w:t>重</w:t>
      </w:r>
      <w:r>
        <w:rPr>
          <w:spacing w:val="-4"/>
          <w:w w:val="95"/>
        </w:rPr>
        <w:t>要议题</w:t>
      </w:r>
    </w:p>
    <w:p>
      <w:pPr>
        <w:pStyle w:val="BodyText"/>
        <w:spacing w:line="417" w:lineRule="auto" w:before="302"/>
        <w:ind w:left="1320" w:right="1314" w:firstLine="559"/>
        <w:jc w:val="both"/>
      </w:pPr>
      <w:r>
        <w:rPr>
          <w:spacing w:val="-4"/>
        </w:rPr>
        <w:t>数据资产管理不仅仅是单一机构的课题。近年来，地方政府层面</w:t>
      </w:r>
      <w:r>
        <w:rPr>
          <w:spacing w:val="-6"/>
        </w:rPr>
        <w:t>越来越重视数据资源的管理，开展了很多工作。在新一轮的政府机构</w:t>
      </w:r>
      <w:r>
        <w:rPr>
          <w:spacing w:val="-25"/>
        </w:rPr>
        <w:t>改革中，设置专门的数据管理机构成为热点，已有贵州、山东、重庆、</w:t>
      </w:r>
      <w:r>
        <w:rPr>
          <w:spacing w:val="-23"/>
        </w:rPr>
        <w:t>福建、广东、浙江、吉林、广西等省份设置了厅局级的大数据管理局，</w:t>
      </w:r>
      <w:r>
        <w:rPr>
          <w:spacing w:val="-4"/>
        </w:rPr>
        <w:t>统筹推动地方</w:t>
      </w:r>
      <w:r>
        <w:rPr>
          <w:rFonts w:ascii="Times New Roman" w:hAnsi="Times New Roman" w:eastAsia="Times New Roman"/>
          <w:spacing w:val="-4"/>
        </w:rPr>
        <w:t>“</w:t>
      </w:r>
      <w:r>
        <w:rPr>
          <w:spacing w:val="-4"/>
        </w:rPr>
        <w:t>数字政府</w:t>
      </w:r>
      <w:r>
        <w:rPr>
          <w:rFonts w:ascii="Times New Roman" w:hAnsi="Times New Roman" w:eastAsia="Times New Roman"/>
          <w:spacing w:val="-4"/>
        </w:rPr>
        <w:t>”</w:t>
      </w:r>
      <w:r>
        <w:rPr>
          <w:spacing w:val="-4"/>
        </w:rPr>
        <w:t>建设，促进政务信息资源共享协同应用。早</w:t>
      </w:r>
      <w:r>
        <w:rPr>
          <w:spacing w:val="-18"/>
        </w:rPr>
        <w:t>在 </w:t>
      </w:r>
      <w:r>
        <w:rPr>
          <w:rFonts w:ascii="Times New Roman" w:hAnsi="Times New Roman" w:eastAsia="Times New Roman"/>
        </w:rPr>
        <w:t>2017</w:t>
      </w:r>
      <w:r>
        <w:rPr>
          <w:rFonts w:ascii="Times New Roman" w:hAnsi="Times New Roman" w:eastAsia="Times New Roman"/>
          <w:spacing w:val="-18"/>
        </w:rPr>
        <w:t> </w:t>
      </w:r>
      <w:r>
        <w:rPr>
          <w:spacing w:val="-18"/>
        </w:rPr>
        <w:t>年 </w:t>
      </w:r>
      <w:r>
        <w:rPr>
          <w:rFonts w:ascii="Times New Roman" w:hAnsi="Times New Roman" w:eastAsia="Times New Roman"/>
        </w:rPr>
        <w:t>7</w:t>
      </w:r>
      <w:r>
        <w:rPr>
          <w:rFonts w:ascii="Times New Roman" w:hAnsi="Times New Roman" w:eastAsia="Times New Roman"/>
          <w:spacing w:val="-17"/>
        </w:rPr>
        <w:t> </w:t>
      </w:r>
      <w:r>
        <w:rPr/>
        <w:t>月，贵州省大数据发展领导小组办公室印发实施了《贵</w:t>
      </w:r>
      <w:r>
        <w:rPr>
          <w:spacing w:val="-11"/>
        </w:rPr>
        <w:t>州省政府数据资产管理登记暂行办法》，成为全国首个出台政府数据</w:t>
      </w:r>
      <w:r>
        <w:rPr>
          <w:spacing w:val="-2"/>
        </w:rPr>
        <w:t>资产管理登记办法的省份。</w:t>
      </w:r>
    </w:p>
    <w:p>
      <w:pPr>
        <w:pStyle w:val="BodyText"/>
        <w:spacing w:line="417" w:lineRule="auto"/>
        <w:ind w:left="1320" w:right="1172" w:firstLine="559"/>
      </w:pPr>
      <w:r>
        <w:rPr/>
        <w:pict>
          <v:rect style="position:absolute;margin-left:90.024002pt;margin-top:219.110016pt;width:144.020pt;height:.71997pt;mso-position-horizontal-relative:page;mso-position-vertical-relative:paragraph;z-index:-15724032;mso-wrap-distance-left:0;mso-wrap-distance-right:0" id="docshape33" filled="true" fillcolor="#000000" stroked="false">
            <v:fill type="solid"/>
            <w10:wrap type="topAndBottom"/>
          </v:rect>
        </w:pict>
      </w:r>
      <w:r>
        <w:rPr/>
        <w:t>行业层面，金融行业高度重视数据资产管理工作。</w:t>
      </w:r>
      <w:r>
        <w:rPr>
          <w:rFonts w:ascii="Times New Roman" w:eastAsia="Times New Roman"/>
        </w:rPr>
        <w:t>2016 </w:t>
      </w:r>
      <w:r>
        <w:rPr>
          <w:spacing w:val="-20"/>
        </w:rPr>
        <w:t>年 </w:t>
      </w:r>
      <w:r>
        <w:rPr>
          <w:rFonts w:ascii="Times New Roman" w:eastAsia="Times New Roman"/>
        </w:rPr>
        <w:t>12 </w:t>
      </w:r>
      <w:r>
        <w:rPr/>
        <w:t>月 </w:t>
      </w:r>
      <w:r>
        <w:rPr>
          <w:rFonts w:ascii="Times New Roman" w:eastAsia="Times New Roman"/>
        </w:rPr>
        <w:t>30 </w:t>
      </w:r>
      <w:r>
        <w:rPr>
          <w:spacing w:val="-6"/>
        </w:rPr>
        <w:t>日，中国证券业协会发布《证券公司全面风险管理规范》，明确指</w:t>
      </w:r>
      <w:r>
        <w:rPr/>
        <w:t>出证券公司应当建立健全数据治理和质量控制机制。</w:t>
      </w:r>
      <w:r>
        <w:rPr>
          <w:rFonts w:ascii="Times New Roman" w:eastAsia="Times New Roman"/>
        </w:rPr>
        <w:t>2018</w:t>
      </w:r>
      <w:r>
        <w:rPr>
          <w:rFonts w:ascii="Times New Roman" w:eastAsia="Times New Roman"/>
          <w:spacing w:val="40"/>
        </w:rPr>
        <w:t> </w:t>
      </w:r>
      <w:r>
        <w:rPr/>
        <w:t>年 </w:t>
      </w:r>
      <w:r>
        <w:rPr>
          <w:rFonts w:ascii="Times New Roman" w:eastAsia="Times New Roman"/>
        </w:rPr>
        <w:t>5</w:t>
      </w:r>
      <w:r>
        <w:rPr>
          <w:rFonts w:ascii="Times New Roman" w:eastAsia="Times New Roman"/>
          <w:spacing w:val="36"/>
        </w:rPr>
        <w:t> </w:t>
      </w:r>
      <w:r>
        <w:rPr/>
        <w:t>月，</w:t>
      </w:r>
      <w:r>
        <w:rPr>
          <w:spacing w:val="-2"/>
        </w:rPr>
        <w:t>银保监会（原银监会）</w:t>
      </w:r>
      <w:r>
        <w:rPr>
          <w:spacing w:val="-11"/>
        </w:rPr>
        <w:t>发布《银行业金融机构数据治理指引》，要求</w:t>
      </w:r>
      <w:r>
        <w:rPr/>
        <w:t>银行业应该将数据治理纳入公司治理范畴。</w:t>
      </w:r>
      <w:r>
        <w:rPr>
          <w:rFonts w:ascii="Times New Roman" w:eastAsia="Times New Roman"/>
        </w:rPr>
        <w:t>2018</w:t>
      </w:r>
      <w:r>
        <w:rPr>
          <w:rFonts w:ascii="Times New Roman" w:eastAsia="Times New Roman"/>
          <w:spacing w:val="40"/>
        </w:rPr>
        <w:t> </w:t>
      </w:r>
      <w:r>
        <w:rPr/>
        <w:t>年，中国支付清算</w:t>
      </w:r>
      <w:r>
        <w:rPr>
          <w:spacing w:val="-2"/>
        </w:rPr>
        <w:t>协会针对非银行支付机构数据资产管理状况开展了调研。医疗行业， </w:t>
      </w:r>
      <w:r>
        <w:rPr>
          <w:rFonts w:ascii="Times New Roman" w:eastAsia="Times New Roman"/>
        </w:rPr>
        <w:t>2018 </w:t>
      </w:r>
      <w:r>
        <w:rPr>
          <w:spacing w:val="-16"/>
        </w:rPr>
        <w:t>年 </w:t>
      </w:r>
      <w:r>
        <w:rPr>
          <w:rFonts w:ascii="Times New Roman" w:eastAsia="Times New Roman"/>
        </w:rPr>
        <w:t>9 </w:t>
      </w:r>
      <w:r>
        <w:rPr>
          <w:spacing w:val="-14"/>
        </w:rPr>
        <w:t>月，国家卫生健康委员会印发《国家健康医疗大数据标准、</w:t>
      </w:r>
    </w:p>
    <w:p>
      <w:pPr>
        <w:spacing w:before="86"/>
        <w:ind w:left="1320" w:right="0" w:firstLine="0"/>
        <w:jc w:val="both"/>
        <w:rPr>
          <w:rFonts w:ascii="Times New Roman" w:hAnsi="Times New Roman"/>
          <w:sz w:val="18"/>
        </w:rPr>
      </w:pPr>
      <w:r>
        <w:rPr>
          <w:rFonts w:ascii="宋体" w:hAnsi="宋体"/>
          <w:position w:val="9"/>
          <w:sz w:val="9"/>
        </w:rPr>
        <w:t>⑥</w:t>
      </w:r>
      <w:r>
        <w:rPr>
          <w:rFonts w:ascii="宋体" w:hAnsi="宋体"/>
          <w:spacing w:val="19"/>
          <w:position w:val="9"/>
          <w:sz w:val="9"/>
        </w:rPr>
        <w:t> </w:t>
      </w:r>
      <w:hyperlink r:id="rId16">
        <w:r>
          <w:rPr>
            <w:rFonts w:ascii="Times New Roman" w:hAnsi="Times New Roman"/>
            <w:sz w:val="18"/>
          </w:rPr>
          <w:t>https://blogs.gartner.com/nick-heudecker/hyping-</w:t>
        </w:r>
        <w:r>
          <w:rPr>
            <w:rFonts w:ascii="Times New Roman" w:hAnsi="Times New Roman"/>
            <w:spacing w:val="-2"/>
            <w:sz w:val="18"/>
          </w:rPr>
          <w:t>dataops/</w:t>
        </w:r>
      </w:hyperlink>
    </w:p>
    <w:p>
      <w:pPr>
        <w:spacing w:line="242" w:lineRule="auto" w:before="11"/>
        <w:ind w:left="1320" w:right="1316" w:firstLine="0"/>
        <w:jc w:val="both"/>
        <w:rPr>
          <w:rFonts w:ascii="宋体" w:eastAsia="宋体"/>
          <w:sz w:val="18"/>
        </w:rPr>
      </w:pPr>
      <w:r>
        <w:rPr>
          <w:rFonts w:ascii="宋体" w:eastAsia="宋体"/>
          <w:spacing w:val="-2"/>
          <w:sz w:val="18"/>
        </w:rPr>
        <w:t>一种数据管理协同实践，主要关注如何提高跨组织的数据管理者和数据使用者数据流的通信、集成和自动</w:t>
      </w:r>
      <w:r>
        <w:rPr>
          <w:rFonts w:ascii="宋体" w:eastAsia="宋体"/>
          <w:sz w:val="18"/>
        </w:rPr>
        <w:t>化。</w:t>
      </w:r>
      <w:r>
        <w:rPr>
          <w:rFonts w:ascii="Georgia" w:eastAsia="Georgia"/>
          <w:sz w:val="18"/>
        </w:rPr>
        <w:t>DataOps</w:t>
      </w:r>
      <w:r>
        <w:rPr>
          <w:rFonts w:ascii="Georgia" w:eastAsia="Georgia"/>
          <w:spacing w:val="-11"/>
          <w:sz w:val="18"/>
        </w:rPr>
        <w:t> </w:t>
      </w:r>
      <w:r>
        <w:rPr>
          <w:rFonts w:ascii="宋体" w:eastAsia="宋体"/>
          <w:sz w:val="18"/>
        </w:rPr>
        <w:t>的目的是创建可预测的交付和变更数据的管理职能，其利用适当的安全等级、质量要素和元</w:t>
      </w:r>
      <w:r>
        <w:rPr>
          <w:rFonts w:ascii="宋体" w:eastAsia="宋体"/>
          <w:spacing w:val="-2"/>
          <w:sz w:val="18"/>
        </w:rPr>
        <w:t>数据级别自动化完成数据交付工作，以动态提高数据管理运作模式。</w:t>
      </w:r>
    </w:p>
    <w:p>
      <w:pPr>
        <w:pStyle w:val="BodyText"/>
        <w:spacing w:before="4"/>
        <w:rPr>
          <w:rFonts w:ascii="宋体"/>
          <w:sz w:val="11"/>
        </w:rPr>
      </w:pPr>
    </w:p>
    <w:p>
      <w:pPr>
        <w:spacing w:before="93"/>
        <w:ind w:left="0" w:right="1" w:firstLine="0"/>
        <w:jc w:val="center"/>
        <w:rPr>
          <w:rFonts w:ascii="Times New Roman"/>
          <w:sz w:val="18"/>
        </w:rPr>
      </w:pPr>
      <w:r>
        <w:rPr>
          <w:rFonts w:ascii="Times New Roman"/>
          <w:sz w:val="18"/>
        </w:rPr>
        <w:t>7</w:t>
      </w:r>
    </w:p>
    <w:p>
      <w:pPr>
        <w:spacing w:after="0"/>
        <w:jc w:val="center"/>
        <w:rPr>
          <w:rFonts w:ascii="Times New Roman"/>
          <w:sz w:val="18"/>
        </w:rPr>
        <w:sectPr>
          <w:headerReference w:type="default" r:id="rId15"/>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296"/>
        <w:jc w:val="both"/>
      </w:pPr>
      <w:r>
        <w:rPr>
          <w:spacing w:val="-2"/>
        </w:rPr>
        <w:t>安全和服务管理办法（试行）</w:t>
      </w:r>
      <w:r>
        <w:rPr>
          <w:spacing w:val="-15"/>
        </w:rPr>
        <w:t>的通知》，充分发挥健康医疗大数据作</w:t>
      </w:r>
      <w:r>
        <w:rPr>
          <w:spacing w:val="-6"/>
        </w:rPr>
        <w:t>为国家重要基础性战略资源的作用。在工业领域，在工业和信息化部</w:t>
      </w:r>
      <w:r>
        <w:rPr>
          <w:spacing w:val="-2"/>
        </w:rPr>
        <w:t>信息化与软件服务业司指导下，工业互联网产业联盟（</w:t>
      </w:r>
      <w:r>
        <w:rPr>
          <w:rFonts w:ascii="Times New Roman" w:eastAsia="Times New Roman"/>
          <w:spacing w:val="-2"/>
        </w:rPr>
        <w:t>AII</w:t>
      </w:r>
      <w:r>
        <w:rPr>
          <w:spacing w:val="-2"/>
        </w:rPr>
        <w:t>）联合中</w:t>
      </w:r>
      <w:r>
        <w:rPr>
          <w:spacing w:val="13"/>
        </w:rPr>
        <w:t>国信息通信研究院发布了《中国工业企业数据资产管理调查报告</w:t>
      </w:r>
    </w:p>
    <w:p>
      <w:pPr>
        <w:pStyle w:val="BodyText"/>
        <w:spacing w:line="358" w:lineRule="exact"/>
        <w:ind w:left="1320"/>
      </w:pPr>
      <w:r>
        <w:rPr>
          <w:spacing w:val="-1"/>
        </w:rPr>
        <w:t>（</w:t>
      </w:r>
      <w:r>
        <w:rPr>
          <w:rFonts w:ascii="Times New Roman" w:eastAsia="Times New Roman"/>
          <w:spacing w:val="-2"/>
        </w:rPr>
        <w:t>2</w:t>
      </w:r>
      <w:r>
        <w:rPr>
          <w:rFonts w:ascii="Times New Roman" w:eastAsia="Times New Roman"/>
        </w:rPr>
        <w:t>0</w:t>
      </w:r>
      <w:r>
        <w:rPr>
          <w:rFonts w:ascii="Times New Roman" w:eastAsia="Times New Roman"/>
          <w:spacing w:val="-2"/>
        </w:rPr>
        <w:t>1</w:t>
      </w:r>
      <w:r>
        <w:rPr>
          <w:rFonts w:ascii="Times New Roman" w:eastAsia="Times New Roman"/>
          <w:spacing w:val="-1"/>
        </w:rPr>
        <w:t>8</w:t>
      </w:r>
      <w:r>
        <w:rPr>
          <w:spacing w:val="-140"/>
        </w:rPr>
        <w:t>）</w:t>
      </w:r>
      <w:r>
        <w:rPr>
          <w:spacing w:val="-84"/>
        </w:rPr>
        <w:t>》。</w:t>
      </w:r>
    </w:p>
    <w:p>
      <w:pPr>
        <w:pStyle w:val="BodyText"/>
        <w:spacing w:line="417" w:lineRule="auto" w:before="265"/>
        <w:ind w:left="1320" w:right="1313" w:firstLine="559"/>
        <w:jc w:val="both"/>
      </w:pPr>
      <w:r>
        <w:rPr>
          <w:spacing w:val="-9"/>
        </w:rPr>
        <w:t>国家层面，数据合规性与数据跨境流动成为各国关注重点。</w:t>
      </w:r>
      <w:r>
        <w:rPr>
          <w:rFonts w:ascii="Times New Roman" w:hAnsi="Times New Roman" w:eastAsia="Times New Roman"/>
          <w:spacing w:val="-2"/>
        </w:rPr>
        <w:t>2017</w:t>
      </w:r>
      <w:r>
        <w:rPr>
          <w:w w:val="95"/>
        </w:rPr>
        <w:t>年 </w:t>
      </w:r>
      <w:r>
        <w:rPr>
          <w:rFonts w:ascii="Times New Roman" w:hAnsi="Times New Roman" w:eastAsia="Times New Roman"/>
          <w:w w:val="95"/>
        </w:rPr>
        <w:t>6</w:t>
      </w:r>
      <w:r>
        <w:rPr>
          <w:rFonts w:ascii="Times New Roman" w:hAnsi="Times New Roman" w:eastAsia="Times New Roman"/>
          <w:spacing w:val="40"/>
        </w:rPr>
        <w:t> </w:t>
      </w:r>
      <w:r>
        <w:rPr>
          <w:w w:val="95"/>
        </w:rPr>
        <w:t>月 </w:t>
      </w:r>
      <w:r>
        <w:rPr>
          <w:rFonts w:ascii="Times New Roman" w:hAnsi="Times New Roman" w:eastAsia="Times New Roman"/>
          <w:w w:val="95"/>
        </w:rPr>
        <w:t>1</w:t>
      </w:r>
      <w:r>
        <w:rPr>
          <w:rFonts w:ascii="Times New Roman" w:hAnsi="Times New Roman" w:eastAsia="Times New Roman"/>
          <w:spacing w:val="40"/>
        </w:rPr>
        <w:t> </w:t>
      </w:r>
      <w:r>
        <w:rPr>
          <w:w w:val="95"/>
        </w:rPr>
        <w:t>日</w:t>
      </w:r>
      <w:r>
        <w:rPr>
          <w:w w:val="95"/>
        </w:rPr>
        <w:t>正</w:t>
      </w:r>
      <w:r>
        <w:rPr>
          <w:w w:val="95"/>
        </w:rPr>
        <w:t>式</w:t>
      </w:r>
      <w:r>
        <w:rPr>
          <w:w w:val="95"/>
        </w:rPr>
        <w:t>生</w:t>
      </w:r>
      <w:r>
        <w:rPr>
          <w:w w:val="95"/>
        </w:rPr>
        <w:t>效的</w:t>
      </w:r>
      <w:r>
        <w:rPr>
          <w:w w:val="95"/>
        </w:rPr>
        <w:t>《</w:t>
      </w:r>
      <w:r>
        <w:rPr>
          <w:w w:val="95"/>
        </w:rPr>
        <w:t>中</w:t>
      </w:r>
      <w:r>
        <w:rPr>
          <w:w w:val="95"/>
        </w:rPr>
        <w:t>华</w:t>
      </w:r>
      <w:r>
        <w:rPr>
          <w:w w:val="95"/>
        </w:rPr>
        <w:t>人</w:t>
      </w:r>
      <w:r>
        <w:rPr>
          <w:w w:val="95"/>
        </w:rPr>
        <w:t>民</w:t>
      </w:r>
      <w:r>
        <w:rPr>
          <w:w w:val="95"/>
        </w:rPr>
        <w:t>共</w:t>
      </w:r>
      <w:r>
        <w:rPr>
          <w:w w:val="95"/>
        </w:rPr>
        <w:t>和</w:t>
      </w:r>
      <w:r>
        <w:rPr>
          <w:w w:val="95"/>
        </w:rPr>
        <w:t>国</w:t>
      </w:r>
      <w:r>
        <w:rPr>
          <w:w w:val="95"/>
        </w:rPr>
        <w:t>网</w:t>
      </w:r>
      <w:r>
        <w:rPr>
          <w:w w:val="95"/>
        </w:rPr>
        <w:t>络</w:t>
      </w:r>
      <w:r>
        <w:rPr>
          <w:w w:val="95"/>
        </w:rPr>
        <w:t>安</w:t>
      </w:r>
      <w:r>
        <w:rPr>
          <w:w w:val="95"/>
        </w:rPr>
        <w:t>全</w:t>
      </w:r>
      <w:r>
        <w:rPr>
          <w:w w:val="95"/>
        </w:rPr>
        <w:t>法</w:t>
      </w:r>
      <w:r>
        <w:rPr>
          <w:spacing w:val="-51"/>
          <w:w w:val="95"/>
        </w:rPr>
        <w:t>》</w:t>
      </w:r>
      <w:r>
        <w:rPr>
          <w:w w:val="95"/>
        </w:rPr>
        <w:t>第</w:t>
      </w:r>
      <w:r>
        <w:rPr>
          <w:w w:val="95"/>
        </w:rPr>
        <w:t>三</w:t>
      </w:r>
      <w:r>
        <w:rPr>
          <w:w w:val="95"/>
        </w:rPr>
        <w:t>十</w:t>
      </w:r>
      <w:r>
        <w:rPr>
          <w:w w:val="95"/>
        </w:rPr>
        <w:t>七</w:t>
      </w:r>
      <w:r>
        <w:rPr>
          <w:w w:val="95"/>
        </w:rPr>
        <w:t>条</w:t>
      </w:r>
      <w:r>
        <w:rPr>
          <w:w w:val="95"/>
        </w:rPr>
        <w:t>规</w:t>
      </w:r>
      <w:r>
        <w:rPr>
          <w:spacing w:val="-15"/>
        </w:rPr>
        <w:t>定：“关键信息基础设施的运营者在中华人民共和国境内运营中收集</w:t>
      </w:r>
      <w:r>
        <w:rPr>
          <w:spacing w:val="-5"/>
        </w:rPr>
        <w:t>和产生的个人信息和重要数据应当在境内存储。因业务需要，确需向</w:t>
      </w:r>
      <w:r>
        <w:rPr>
          <w:spacing w:val="-12"/>
        </w:rPr>
        <w:t>境外提供的，应当按照国家网信部门会同国务院有关部门制定的办法</w:t>
      </w:r>
      <w:r>
        <w:rPr>
          <w:spacing w:val="-18"/>
        </w:rPr>
        <w:t>进行安全评估”。</w:t>
      </w:r>
      <w:r>
        <w:rPr>
          <w:rFonts w:ascii="Times New Roman" w:hAnsi="Times New Roman" w:eastAsia="Times New Roman"/>
        </w:rPr>
        <w:t>2018</w:t>
      </w:r>
      <w:r>
        <w:rPr>
          <w:rFonts w:ascii="Times New Roman" w:hAnsi="Times New Roman" w:eastAsia="Times New Roman"/>
          <w:spacing w:val="-18"/>
        </w:rPr>
        <w:t> </w:t>
      </w:r>
      <w:r>
        <w:rPr>
          <w:spacing w:val="-18"/>
        </w:rPr>
        <w:t>年 </w:t>
      </w:r>
      <w:r>
        <w:rPr>
          <w:rFonts w:ascii="Times New Roman" w:hAnsi="Times New Roman" w:eastAsia="Times New Roman"/>
        </w:rPr>
        <w:t>5</w:t>
      </w:r>
      <w:r>
        <w:rPr>
          <w:rFonts w:ascii="Times New Roman" w:hAnsi="Times New Roman" w:eastAsia="Times New Roman"/>
          <w:spacing w:val="-17"/>
        </w:rPr>
        <w:t> </w:t>
      </w:r>
      <w:r>
        <w:rPr>
          <w:spacing w:val="-18"/>
        </w:rPr>
        <w:t>月 </w:t>
      </w:r>
      <w:r>
        <w:rPr>
          <w:rFonts w:ascii="Times New Roman" w:hAnsi="Times New Roman" w:eastAsia="Times New Roman"/>
        </w:rPr>
        <w:t>25</w:t>
      </w:r>
      <w:r>
        <w:rPr>
          <w:rFonts w:ascii="Times New Roman" w:hAnsi="Times New Roman" w:eastAsia="Times New Roman"/>
          <w:spacing w:val="-18"/>
        </w:rPr>
        <w:t> </w:t>
      </w:r>
      <w:r>
        <w:rPr/>
        <w:t>日，一般数据保护条例</w:t>
      </w:r>
      <w:r>
        <w:rPr>
          <w:rFonts w:ascii="Times New Roman" w:hAnsi="Times New Roman" w:eastAsia="Times New Roman"/>
        </w:rPr>
        <w:t>(GDPR)</w:t>
      </w:r>
      <w:r>
        <w:rPr/>
        <w:t>正式</w:t>
      </w:r>
      <w:r>
        <w:rPr>
          <w:spacing w:val="-4"/>
        </w:rPr>
        <w:t>在欧盟实施。各国对于数据跨境流动的关注则包含了数据主权、隐私</w:t>
      </w:r>
      <w:r>
        <w:rPr>
          <w:spacing w:val="-2"/>
        </w:rPr>
        <w:t>保护、法律适用与管辖、乃至国际贸易规则等内容。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92"/>
        <w:ind w:left="0" w:right="1" w:firstLine="0"/>
        <w:jc w:val="center"/>
        <w:rPr>
          <w:rFonts w:ascii="Times New Roman"/>
          <w:sz w:val="18"/>
        </w:rPr>
      </w:pPr>
      <w:r>
        <w:rPr>
          <w:rFonts w:ascii="Times New Roman"/>
          <w:sz w:val="18"/>
        </w:rPr>
        <w:t>8</w:t>
      </w:r>
    </w:p>
    <w:p>
      <w:pPr>
        <w:spacing w:after="0"/>
        <w:jc w:val="center"/>
        <w:rPr>
          <w:rFonts w:ascii="Times New Roman"/>
          <w:sz w:val="18"/>
        </w:rPr>
        <w:sectPr>
          <w:headerReference w:type="default" r:id="rId17"/>
          <w:pgSz w:w="11910" w:h="16840"/>
          <w:pgMar w:header="877" w:footer="0" w:top="1100" w:bottom="280" w:left="480" w:right="480"/>
        </w:sectPr>
      </w:pPr>
    </w:p>
    <w:p>
      <w:pPr>
        <w:pStyle w:val="BodyText"/>
        <w:rPr>
          <w:rFonts w:ascii="Times New Roman"/>
          <w:sz w:val="20"/>
        </w:rPr>
      </w:pPr>
    </w:p>
    <w:p>
      <w:pPr>
        <w:pStyle w:val="Heading2"/>
        <w:ind w:left="1961"/>
      </w:pPr>
      <w:bookmarkStart w:name="_bookmark11" w:id="12"/>
      <w:bookmarkEnd w:id="12"/>
      <w:r>
        <w:rPr>
          <w:b w:val="0"/>
        </w:rPr>
      </w:r>
      <w:r>
        <w:rPr>
          <w:rFonts w:ascii="Times New Roman" w:eastAsia="Times New Roman"/>
          <w:w w:val="95"/>
        </w:rPr>
        <w:t>(</w:t>
      </w:r>
      <w:r>
        <w:rPr>
          <w:w w:val="95"/>
        </w:rPr>
        <w:t>四</w:t>
      </w:r>
      <w:r>
        <w:rPr>
          <w:rFonts w:ascii="Times New Roman" w:eastAsia="Times New Roman"/>
          <w:w w:val="95"/>
        </w:rPr>
        <w:t>)</w:t>
      </w:r>
      <w:r>
        <w:rPr>
          <w:rFonts w:ascii="Times New Roman" w:eastAsia="Times New Roman"/>
          <w:spacing w:val="39"/>
        </w:rPr>
        <w:t>  </w:t>
      </w:r>
      <w:r>
        <w:rPr>
          <w:w w:val="95"/>
        </w:rPr>
        <w:t>变</w:t>
      </w:r>
      <w:r>
        <w:rPr>
          <w:w w:val="95"/>
        </w:rPr>
        <w:t>革</w:t>
      </w:r>
      <w:r>
        <w:rPr>
          <w:w w:val="95"/>
        </w:rPr>
        <w:t>中</w:t>
      </w:r>
      <w:r>
        <w:rPr>
          <w:w w:val="95"/>
        </w:rPr>
        <w:t>的</w:t>
      </w:r>
      <w:r>
        <w:rPr>
          <w:w w:val="95"/>
        </w:rPr>
        <w:t>数</w:t>
      </w:r>
      <w:r>
        <w:rPr>
          <w:w w:val="95"/>
        </w:rPr>
        <w:t>据</w:t>
      </w:r>
      <w:r>
        <w:rPr>
          <w:w w:val="95"/>
        </w:rPr>
        <w:t>资</w:t>
      </w:r>
      <w:r>
        <w:rPr>
          <w:w w:val="95"/>
        </w:rPr>
        <w:t>产</w:t>
      </w:r>
      <w:r>
        <w:rPr>
          <w:w w:val="95"/>
        </w:rPr>
        <w:t>管</w:t>
      </w:r>
      <w:r>
        <w:rPr>
          <w:spacing w:val="-10"/>
          <w:w w:val="95"/>
        </w:rPr>
        <w:t>理</w:t>
      </w:r>
    </w:p>
    <w:p>
      <w:pPr>
        <w:pStyle w:val="BodyText"/>
        <w:spacing w:line="417" w:lineRule="auto" w:before="302"/>
        <w:ind w:left="1320" w:right="1311" w:firstLine="482"/>
        <w:jc w:val="both"/>
      </w:pPr>
      <w:r>
        <w:rPr/>
        <w:drawing>
          <wp:anchor distT="0" distB="0" distL="0" distR="0" allowOverlap="1" layoutInCell="1" locked="0" behindDoc="0" simplePos="0" relativeHeight="10">
            <wp:simplePos x="0" y="0"/>
            <wp:positionH relativeFrom="page">
              <wp:posOffset>1143000</wp:posOffset>
            </wp:positionH>
            <wp:positionV relativeFrom="paragraph">
              <wp:posOffset>1410208</wp:posOffset>
            </wp:positionV>
            <wp:extent cx="5175955" cy="411184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9" cstate="print"/>
                    <a:stretch>
                      <a:fillRect/>
                    </a:stretch>
                  </pic:blipFill>
                  <pic:spPr>
                    <a:xfrm>
                      <a:off x="0" y="0"/>
                      <a:ext cx="5175955" cy="4111847"/>
                    </a:xfrm>
                    <a:prstGeom prst="rect">
                      <a:avLst/>
                    </a:prstGeom>
                  </pic:spPr>
                </pic:pic>
              </a:graphicData>
            </a:graphic>
          </wp:anchor>
        </w:drawing>
      </w:r>
      <w:r>
        <w:rPr>
          <w:spacing w:val="-2"/>
        </w:rPr>
        <w:t>随着大数据的迅猛发展，数据资产管理相对传统的数据管理是</w:t>
      </w:r>
      <w:r>
        <w:rPr>
          <w:b/>
          <w:spacing w:val="-2"/>
        </w:rPr>
        <w:t>正</w:t>
      </w:r>
      <w:r>
        <w:rPr>
          <w:spacing w:val="-4"/>
        </w:rPr>
        <w:t>在变革的，逐渐呈现一些新特点，可以从数据对象、处理架构、组织</w:t>
      </w:r>
      <w:r>
        <w:rPr/>
        <w:t>职能、管理手段和应用范围五个方面来认识，如</w:t>
      </w:r>
      <w:hyperlink w:history="true" w:anchor="_bookmark12">
        <w:r>
          <w:rPr/>
          <w:t>图 </w:t>
        </w:r>
        <w:r>
          <w:rPr>
            <w:rFonts w:ascii="Times New Roman" w:eastAsia="Times New Roman"/>
          </w:rPr>
          <w:t>2 </w:t>
        </w:r>
      </w:hyperlink>
      <w:r>
        <w:rPr/>
        <w:t>所示。</w:t>
      </w:r>
    </w:p>
    <w:p>
      <w:pPr>
        <w:spacing w:before="92"/>
        <w:ind w:left="1329" w:right="1152" w:firstLine="0"/>
        <w:jc w:val="center"/>
        <w:rPr>
          <w:sz w:val="24"/>
        </w:rPr>
      </w:pPr>
      <w:bookmarkStart w:name="_bookmark12" w:id="13"/>
      <w:bookmarkEnd w:id="13"/>
      <w:r>
        <w:rPr/>
      </w:r>
      <w:r>
        <w:rPr>
          <w:spacing w:val="7"/>
          <w:sz w:val="24"/>
        </w:rPr>
        <w:t>图 </w:t>
      </w:r>
      <w:r>
        <w:rPr>
          <w:rFonts w:ascii="Times New Roman" w:eastAsia="Times New Roman"/>
          <w:sz w:val="24"/>
        </w:rPr>
        <w:t>2</w:t>
      </w:r>
      <w:r>
        <w:rPr>
          <w:rFonts w:ascii="Times New Roman" w:eastAsia="Times New Roman"/>
          <w:spacing w:val="64"/>
          <w:sz w:val="24"/>
        </w:rPr>
        <w:t> </w:t>
      </w:r>
      <w:r>
        <w:rPr>
          <w:spacing w:val="16"/>
          <w:sz w:val="24"/>
        </w:rPr>
        <w:t>大数据背景下的数据资产管理特点特征</w:t>
      </w:r>
    </w:p>
    <w:p>
      <w:pPr>
        <w:pStyle w:val="BodyText"/>
        <w:spacing w:before="1"/>
        <w:rPr>
          <w:sz w:val="33"/>
        </w:rPr>
      </w:pPr>
    </w:p>
    <w:p>
      <w:pPr>
        <w:pStyle w:val="Heading3"/>
        <w:numPr>
          <w:ilvl w:val="0"/>
          <w:numId w:val="8"/>
        </w:numPr>
        <w:tabs>
          <w:tab w:pos="2580" w:val="left" w:leader="none"/>
          <w:tab w:pos="2581" w:val="left" w:leader="none"/>
        </w:tabs>
        <w:spacing w:line="240" w:lineRule="auto" w:before="0" w:after="0"/>
        <w:ind w:left="2580" w:right="0" w:hanging="620"/>
        <w:jc w:val="left"/>
      </w:pPr>
      <w:bookmarkStart w:name="_bookmark13" w:id="14"/>
      <w:bookmarkEnd w:id="14"/>
      <w:r>
        <w:rPr>
          <w:w w:val="95"/>
        </w:rPr>
        <w:t>数</w:t>
      </w:r>
      <w:r>
        <w:rPr>
          <w:w w:val="95"/>
        </w:rPr>
        <w:t>据</w:t>
      </w:r>
      <w:r>
        <w:rPr>
          <w:w w:val="95"/>
        </w:rPr>
        <w:t>对</w:t>
      </w:r>
      <w:r>
        <w:rPr>
          <w:w w:val="95"/>
        </w:rPr>
        <w:t>象</w:t>
      </w:r>
      <w:r>
        <w:rPr>
          <w:w w:val="95"/>
        </w:rPr>
        <w:t>纷</w:t>
      </w:r>
      <w:r>
        <w:rPr>
          <w:w w:val="95"/>
        </w:rPr>
        <w:t>繁</w:t>
      </w:r>
      <w:r>
        <w:rPr>
          <w:w w:val="95"/>
        </w:rPr>
        <w:t>复</w:t>
      </w:r>
      <w:r>
        <w:rPr>
          <w:spacing w:val="-10"/>
          <w:w w:val="95"/>
        </w:rPr>
        <w:t>杂</w:t>
      </w:r>
    </w:p>
    <w:p>
      <w:pPr>
        <w:pStyle w:val="BodyText"/>
        <w:spacing w:line="417" w:lineRule="auto" w:before="302"/>
        <w:ind w:left="1320" w:right="1316" w:firstLine="559"/>
        <w:jc w:val="both"/>
      </w:pPr>
      <w:r>
        <w:rPr>
          <w:spacing w:val="-4"/>
        </w:rPr>
        <w:t>数据作为数据资产管理的对象，体现出数据规模海量庞大、数据</w:t>
      </w:r>
      <w:r>
        <w:rPr>
          <w:spacing w:val="-4"/>
        </w:rPr>
        <w:t>格式种类繁杂以及数据来源各式各样等特征。在数据量方面，单一机</w:t>
      </w:r>
      <w:r>
        <w:rPr>
          <w:spacing w:val="-9"/>
        </w:rPr>
        <w:t>构的数据规模由以前的 </w:t>
      </w:r>
      <w:r>
        <w:rPr>
          <w:rFonts w:ascii="Times New Roman" w:eastAsia="Times New Roman"/>
          <w:spacing w:val="-6"/>
        </w:rPr>
        <w:t>GB</w:t>
      </w:r>
      <w:r>
        <w:rPr>
          <w:rFonts w:ascii="Times New Roman" w:eastAsia="Times New Roman"/>
          <w:spacing w:val="-12"/>
        </w:rPr>
        <w:t> </w:t>
      </w:r>
      <w:r>
        <w:rPr>
          <w:spacing w:val="-11"/>
        </w:rPr>
        <w:t>级上升到 </w:t>
      </w:r>
      <w:r>
        <w:rPr>
          <w:rFonts w:ascii="Times New Roman" w:eastAsia="Times New Roman"/>
          <w:spacing w:val="-6"/>
        </w:rPr>
        <w:t>TB</w:t>
      </w:r>
      <w:r>
        <w:rPr>
          <w:rFonts w:ascii="Times New Roman" w:eastAsia="Times New Roman"/>
          <w:spacing w:val="-11"/>
        </w:rPr>
        <w:t> </w:t>
      </w:r>
      <w:r>
        <w:rPr>
          <w:spacing w:val="-11"/>
        </w:rPr>
        <w:t>级，甚至 </w:t>
      </w:r>
      <w:r>
        <w:rPr>
          <w:rFonts w:ascii="Times New Roman" w:eastAsia="Times New Roman"/>
          <w:spacing w:val="-6"/>
        </w:rPr>
        <w:t>PB</w:t>
      </w:r>
      <w:r>
        <w:rPr>
          <w:rFonts w:ascii="Times New Roman" w:eastAsia="Times New Roman"/>
          <w:spacing w:val="-12"/>
        </w:rPr>
        <w:t> </w:t>
      </w:r>
      <w:r>
        <w:rPr>
          <w:spacing w:val="-6"/>
        </w:rPr>
        <w:t>级、</w:t>
      </w:r>
      <w:r>
        <w:rPr>
          <w:rFonts w:ascii="Times New Roman" w:eastAsia="Times New Roman"/>
          <w:spacing w:val="-6"/>
        </w:rPr>
        <w:t>EB </w:t>
      </w:r>
      <w:r>
        <w:rPr>
          <w:spacing w:val="-6"/>
        </w:rPr>
        <w:t>级，数</w:t>
      </w:r>
      <w:r>
        <w:rPr>
          <w:spacing w:val="-4"/>
        </w:rPr>
        <w:t>据增速快。在数据格式种类方面，除传统的结构化数据之外，文本数</w:t>
      </w:r>
      <w:r>
        <w:rPr>
          <w:spacing w:val="-7"/>
        </w:rPr>
        <w:t>据、图像数据、语音数据、视频数据等半结构化数据或非结构化数据</w:t>
      </w:r>
    </w:p>
    <w:p>
      <w:pPr>
        <w:pStyle w:val="BodyText"/>
        <w:spacing w:before="4"/>
        <w:rPr>
          <w:sz w:val="18"/>
        </w:rPr>
      </w:pPr>
    </w:p>
    <w:p>
      <w:pPr>
        <w:spacing w:before="93"/>
        <w:ind w:left="0" w:right="1" w:firstLine="0"/>
        <w:jc w:val="center"/>
        <w:rPr>
          <w:rFonts w:ascii="Times New Roman"/>
          <w:sz w:val="18"/>
        </w:rPr>
      </w:pPr>
      <w:r>
        <w:rPr>
          <w:rFonts w:ascii="Times New Roman"/>
          <w:sz w:val="18"/>
        </w:rPr>
        <w:t>9</w:t>
      </w:r>
    </w:p>
    <w:p>
      <w:pPr>
        <w:spacing w:after="0"/>
        <w:jc w:val="center"/>
        <w:rPr>
          <w:rFonts w:ascii="Times New Roman"/>
          <w:sz w:val="18"/>
        </w:rPr>
        <w:sectPr>
          <w:headerReference w:type="default" r:id="rId1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jc w:val="both"/>
      </w:pPr>
      <w:r>
        <w:rPr>
          <w:spacing w:val="-4"/>
        </w:rPr>
        <w:t>占比越来越大，种类日益丰富。在数据来源方面，数据既包括内部数</w:t>
      </w:r>
      <w:r>
        <w:rPr>
          <w:spacing w:val="-6"/>
        </w:rPr>
        <w:t>据，也包括来自第三方的外部数据，既包括传统业务处理采集的业务</w:t>
      </w:r>
      <w:r>
        <w:rPr>
          <w:spacing w:val="-4"/>
        </w:rPr>
        <w:t>数据，也包括手机终端、传感器、机器设备、网站网络、日志等技术</w:t>
      </w:r>
      <w:r>
        <w:rPr>
          <w:spacing w:val="-2"/>
        </w:rPr>
        <w:t>产生的数据。数据资产呈现数据对象海量、多样、多元化等特点。</w:t>
      </w:r>
    </w:p>
    <w:p>
      <w:pPr>
        <w:pStyle w:val="Heading3"/>
        <w:numPr>
          <w:ilvl w:val="0"/>
          <w:numId w:val="8"/>
        </w:numPr>
        <w:tabs>
          <w:tab w:pos="2580" w:val="left" w:leader="none"/>
          <w:tab w:pos="2581" w:val="left" w:leader="none"/>
        </w:tabs>
        <w:spacing w:line="240" w:lineRule="auto" w:before="211" w:after="0"/>
        <w:ind w:left="2580" w:right="0" w:hanging="620"/>
        <w:jc w:val="left"/>
      </w:pPr>
      <w:bookmarkStart w:name="_bookmark14" w:id="15"/>
      <w:bookmarkEnd w:id="15"/>
      <w:r>
        <w:rPr>
          <w:w w:val="95"/>
        </w:rPr>
        <w:t>处</w:t>
      </w:r>
      <w:r>
        <w:rPr>
          <w:w w:val="95"/>
        </w:rPr>
        <w:t>理</w:t>
      </w:r>
      <w:r>
        <w:rPr>
          <w:w w:val="95"/>
        </w:rPr>
        <w:t>架</w:t>
      </w:r>
      <w:r>
        <w:rPr>
          <w:w w:val="95"/>
        </w:rPr>
        <w:t>构</w:t>
      </w:r>
      <w:r>
        <w:rPr>
          <w:w w:val="95"/>
        </w:rPr>
        <w:t>更</w:t>
      </w:r>
      <w:r>
        <w:rPr>
          <w:w w:val="95"/>
        </w:rPr>
        <w:t>新</w:t>
      </w:r>
      <w:r>
        <w:rPr>
          <w:w w:val="95"/>
        </w:rPr>
        <w:t>换</w:t>
      </w:r>
      <w:r>
        <w:rPr>
          <w:spacing w:val="-10"/>
          <w:w w:val="95"/>
        </w:rPr>
        <w:t>代</w:t>
      </w:r>
    </w:p>
    <w:p>
      <w:pPr>
        <w:pStyle w:val="BodyText"/>
        <w:spacing w:line="417" w:lineRule="auto" w:before="302"/>
        <w:ind w:left="1320" w:right="1315" w:firstLine="559"/>
        <w:jc w:val="both"/>
      </w:pPr>
      <w:r>
        <w:rPr>
          <w:spacing w:val="-4"/>
        </w:rPr>
        <w:t>处理架构的更新换代体现在两个方面。一方面是底层架构，数据</w:t>
      </w:r>
      <w:r>
        <w:rPr>
          <w:spacing w:val="-6"/>
        </w:rPr>
        <w:t>处理的底层架构快速的向分布式系统迁移。以 </w:t>
      </w:r>
      <w:r>
        <w:rPr>
          <w:rFonts w:ascii="Times New Roman" w:hAnsi="Times New Roman" w:eastAsia="Times New Roman"/>
          <w:spacing w:val="-4"/>
        </w:rPr>
        <w:t>Hadoop</w:t>
      </w:r>
      <w:r>
        <w:rPr>
          <w:spacing w:val="-4"/>
        </w:rPr>
        <w:t>、</w:t>
      </w:r>
      <w:r>
        <w:rPr>
          <w:rFonts w:ascii="Times New Roman" w:hAnsi="Times New Roman" w:eastAsia="Times New Roman"/>
          <w:spacing w:val="-4"/>
        </w:rPr>
        <w:t>Spark</w:t>
      </w:r>
      <w:r>
        <w:rPr>
          <w:rFonts w:ascii="Times New Roman" w:hAnsi="Times New Roman" w:eastAsia="Times New Roman"/>
          <w:spacing w:val="-14"/>
        </w:rPr>
        <w:t> </w:t>
      </w:r>
      <w:r>
        <w:rPr>
          <w:spacing w:val="-4"/>
        </w:rPr>
        <w:t>等分布</w:t>
      </w:r>
      <w:r>
        <w:rPr>
          <w:spacing w:val="-2"/>
        </w:rPr>
        <w:t>式技术和组件为核心的</w:t>
      </w:r>
      <w:r>
        <w:rPr>
          <w:rFonts w:ascii="Times New Roman" w:hAnsi="Times New Roman" w:eastAsia="Times New Roman"/>
          <w:spacing w:val="-2"/>
        </w:rPr>
        <w:t>“</w:t>
      </w:r>
      <w:r>
        <w:rPr>
          <w:spacing w:val="-2"/>
        </w:rPr>
        <w:t>计算</w:t>
      </w:r>
      <w:r>
        <w:rPr>
          <w:rFonts w:ascii="Times New Roman" w:hAnsi="Times New Roman" w:eastAsia="Times New Roman"/>
          <w:spacing w:val="-2"/>
        </w:rPr>
        <w:t>&amp;</w:t>
      </w:r>
      <w:r>
        <w:rPr>
          <w:spacing w:val="-2"/>
        </w:rPr>
        <w:t>存储混搭</w:t>
      </w:r>
      <w:r>
        <w:rPr>
          <w:rFonts w:ascii="Times New Roman" w:hAnsi="Times New Roman" w:eastAsia="Times New Roman"/>
          <w:spacing w:val="-2"/>
        </w:rPr>
        <w:t>”</w:t>
      </w:r>
      <w:r>
        <w:rPr>
          <w:spacing w:val="-2"/>
        </w:rPr>
        <w:t>的数据处理架构，能够支持</w:t>
      </w:r>
      <w:r>
        <w:rPr>
          <w:spacing w:val="-7"/>
        </w:rPr>
        <w:t>批量和实时的数据加载以及灵活的业务需求。另一方面是数据的预处</w:t>
      </w:r>
      <w:r>
        <w:rPr>
          <w:spacing w:val="-6"/>
        </w:rPr>
        <w:t>理流程正在从传统的 </w:t>
      </w:r>
      <w:r>
        <w:rPr>
          <w:rFonts w:ascii="Times New Roman" w:hAnsi="Times New Roman" w:eastAsia="Times New Roman"/>
          <w:spacing w:val="-2"/>
        </w:rPr>
        <w:t>ETL</w:t>
      </w:r>
      <w:r>
        <w:rPr>
          <w:rFonts w:ascii="Times New Roman" w:hAnsi="Times New Roman" w:eastAsia="Times New Roman"/>
          <w:spacing w:val="-16"/>
        </w:rPr>
        <w:t> </w:t>
      </w:r>
      <w:r>
        <w:rPr>
          <w:spacing w:val="-10"/>
        </w:rPr>
        <w:t>结构向 </w:t>
      </w:r>
      <w:r>
        <w:rPr>
          <w:rFonts w:ascii="Times New Roman" w:hAnsi="Times New Roman" w:eastAsia="Times New Roman"/>
          <w:spacing w:val="-2"/>
        </w:rPr>
        <w:t>ELT</w:t>
      </w:r>
      <w:r>
        <w:rPr>
          <w:rFonts w:ascii="Times New Roman" w:hAnsi="Times New Roman" w:eastAsia="Times New Roman"/>
          <w:spacing w:val="-15"/>
        </w:rPr>
        <w:t> </w:t>
      </w:r>
      <w:r>
        <w:rPr>
          <w:spacing w:val="-2"/>
        </w:rPr>
        <w:t>转变。传统的数据集成处理架</w:t>
      </w:r>
      <w:r>
        <w:rPr>
          <w:spacing w:val="-12"/>
        </w:rPr>
        <w:t>构是 </w:t>
      </w:r>
      <w:r>
        <w:rPr>
          <w:rFonts w:ascii="Times New Roman" w:hAnsi="Times New Roman" w:eastAsia="Times New Roman"/>
        </w:rPr>
        <w:t>ETL</w:t>
      </w:r>
      <w:r>
        <w:rPr>
          <w:rFonts w:ascii="Times New Roman" w:hAnsi="Times New Roman" w:eastAsia="Times New Roman"/>
          <w:spacing w:val="26"/>
        </w:rPr>
        <w:t> </w:t>
      </w:r>
      <w:r>
        <w:rPr/>
        <w:t>结构，这是构建数据仓库的重要一环，即用户从数据源抽</w:t>
      </w:r>
      <w:r>
        <w:rPr>
          <w:spacing w:val="-9"/>
        </w:rPr>
        <w:t>取出所需的数据，经过数据清洗，最终按照预先定义好的数据仓库模</w:t>
      </w:r>
      <w:r>
        <w:rPr>
          <w:spacing w:val="-7"/>
        </w:rPr>
        <w:t>型，将数据加载到数据仓库中去。而大数据背景下的架构体系是 </w:t>
      </w:r>
      <w:r>
        <w:rPr>
          <w:rFonts w:ascii="Times New Roman" w:hAnsi="Times New Roman" w:eastAsia="Times New Roman"/>
          <w:spacing w:val="-6"/>
        </w:rPr>
        <w:t>ELT</w:t>
      </w:r>
      <w:r>
        <w:rPr>
          <w:spacing w:val="-24"/>
          <w:w w:val="95"/>
        </w:rPr>
        <w:t>结构，其根</w:t>
      </w:r>
      <w:r>
        <w:rPr>
          <w:w w:val="95"/>
        </w:rPr>
        <w:t>据</w:t>
      </w:r>
      <w:r>
        <w:rPr>
          <w:w w:val="95"/>
        </w:rPr>
        <w:t>上</w:t>
      </w:r>
      <w:r>
        <w:rPr>
          <w:w w:val="95"/>
        </w:rPr>
        <w:t>层</w:t>
      </w:r>
      <w:r>
        <w:rPr>
          <w:w w:val="95"/>
        </w:rPr>
        <w:t>的</w:t>
      </w:r>
      <w:r>
        <w:rPr>
          <w:w w:val="95"/>
        </w:rPr>
        <w:t>应</w:t>
      </w:r>
      <w:r>
        <w:rPr>
          <w:w w:val="95"/>
        </w:rPr>
        <w:t>用</w:t>
      </w:r>
      <w:r>
        <w:rPr>
          <w:w w:val="95"/>
        </w:rPr>
        <w:t>需</w:t>
      </w:r>
      <w:r>
        <w:rPr>
          <w:w w:val="95"/>
        </w:rPr>
        <w:t>求</w:t>
      </w:r>
      <w:r>
        <w:rPr>
          <w:spacing w:val="-120"/>
          <w:w w:val="95"/>
        </w:rPr>
        <w:t>，</w:t>
      </w:r>
      <w:r>
        <w:rPr>
          <w:w w:val="95"/>
        </w:rPr>
        <w:t>随</w:t>
      </w:r>
      <w:r>
        <w:rPr>
          <w:w w:val="95"/>
        </w:rPr>
        <w:t>时</w:t>
      </w:r>
      <w:r>
        <w:rPr>
          <w:w w:val="95"/>
        </w:rPr>
        <w:t>从</w:t>
      </w:r>
      <w:r>
        <w:rPr>
          <w:w w:val="95"/>
        </w:rPr>
        <w:t>数</w:t>
      </w:r>
      <w:r>
        <w:rPr>
          <w:w w:val="95"/>
        </w:rPr>
        <w:t>据湖</w:t>
      </w:r>
      <w:r>
        <w:rPr>
          <w:w w:val="95"/>
          <w:position w:val="13"/>
          <w:sz w:val="14"/>
        </w:rPr>
        <w:t>⑦</w:t>
      </w:r>
      <w:r>
        <w:rPr>
          <w:w w:val="95"/>
        </w:rPr>
        <w:t>中</w:t>
      </w:r>
      <w:r>
        <w:rPr>
          <w:w w:val="95"/>
        </w:rPr>
        <w:t>抽</w:t>
      </w:r>
      <w:r>
        <w:rPr>
          <w:w w:val="95"/>
        </w:rPr>
        <w:t>取</w:t>
      </w:r>
      <w:r>
        <w:rPr>
          <w:w w:val="95"/>
        </w:rPr>
        <w:t>数</w:t>
      </w:r>
      <w:r>
        <w:rPr>
          <w:w w:val="95"/>
        </w:rPr>
        <w:t>据</w:t>
      </w:r>
      <w:r>
        <w:rPr>
          <w:w w:val="95"/>
        </w:rPr>
        <w:t>建</w:t>
      </w:r>
      <w:r>
        <w:rPr>
          <w:w w:val="95"/>
        </w:rPr>
        <w:t>模</w:t>
      </w:r>
      <w:r>
        <w:rPr>
          <w:w w:val="95"/>
        </w:rPr>
        <w:t>分</w:t>
      </w:r>
      <w:r>
        <w:rPr>
          <w:w w:val="95"/>
        </w:rPr>
        <w:t>析</w:t>
      </w:r>
      <w:r>
        <w:rPr>
          <w:spacing w:val="-10"/>
          <w:w w:val="95"/>
        </w:rPr>
        <w:t>。</w:t>
      </w:r>
    </w:p>
    <w:p>
      <w:pPr>
        <w:pStyle w:val="Heading3"/>
        <w:numPr>
          <w:ilvl w:val="0"/>
          <w:numId w:val="8"/>
        </w:numPr>
        <w:tabs>
          <w:tab w:pos="2580" w:val="left" w:leader="none"/>
          <w:tab w:pos="2581" w:val="left" w:leader="none"/>
        </w:tabs>
        <w:spacing w:line="240" w:lineRule="auto" w:before="211" w:after="0"/>
        <w:ind w:left="2580" w:right="0" w:hanging="620"/>
        <w:jc w:val="left"/>
      </w:pPr>
      <w:bookmarkStart w:name="_bookmark15" w:id="16"/>
      <w:bookmarkEnd w:id="16"/>
      <w:r>
        <w:rPr>
          <w:w w:val="95"/>
        </w:rPr>
        <w:t>组</w:t>
      </w:r>
      <w:r>
        <w:rPr>
          <w:w w:val="95"/>
        </w:rPr>
        <w:t>织</w:t>
      </w:r>
      <w:r>
        <w:rPr>
          <w:w w:val="95"/>
        </w:rPr>
        <w:t>职</w:t>
      </w:r>
      <w:r>
        <w:rPr>
          <w:w w:val="95"/>
        </w:rPr>
        <w:t>能</w:t>
      </w:r>
      <w:r>
        <w:rPr>
          <w:w w:val="95"/>
        </w:rPr>
        <w:t>升</w:t>
      </w:r>
      <w:r>
        <w:rPr>
          <w:w w:val="95"/>
        </w:rPr>
        <w:t>级</w:t>
      </w:r>
      <w:r>
        <w:rPr>
          <w:w w:val="95"/>
        </w:rPr>
        <w:t>变</w:t>
      </w:r>
      <w:r>
        <w:rPr>
          <w:spacing w:val="-10"/>
          <w:w w:val="95"/>
        </w:rPr>
        <w:t>迁</w:t>
      </w:r>
    </w:p>
    <w:p>
      <w:pPr>
        <w:pStyle w:val="BodyText"/>
        <w:spacing w:line="417" w:lineRule="auto" w:before="302"/>
        <w:ind w:left="1320" w:right="1314" w:firstLine="559"/>
        <w:jc w:val="both"/>
      </w:pPr>
      <w:r>
        <w:rPr>
          <w:spacing w:val="-2"/>
        </w:rPr>
        <w:t>传统的管理制度体系中，数据管理职能主要由 </w:t>
      </w:r>
      <w:r>
        <w:rPr>
          <w:rFonts w:ascii="Times New Roman" w:eastAsia="Times New Roman"/>
        </w:rPr>
        <w:t>IT</w:t>
      </w:r>
      <w:r>
        <w:rPr>
          <w:rFonts w:ascii="Times New Roman" w:eastAsia="Times New Roman"/>
          <w:spacing w:val="-3"/>
        </w:rPr>
        <w:t> </w:t>
      </w:r>
      <w:r>
        <w:rPr/>
        <w:t>部门来负责，</w:t>
      </w:r>
      <w:r>
        <w:rPr>
          <w:w w:val="95"/>
        </w:rPr>
        <w:t>是</w:t>
      </w:r>
      <w:r>
        <w:rPr>
          <w:w w:val="95"/>
        </w:rPr>
        <w:t> </w:t>
      </w:r>
      <w:r>
        <w:rPr>
          <w:rFonts w:ascii="Times New Roman" w:eastAsia="Times New Roman"/>
          <w:w w:val="95"/>
        </w:rPr>
        <w:t>IT</w:t>
      </w:r>
      <w:r>
        <w:rPr>
          <w:rFonts w:ascii="Times New Roman" w:eastAsia="Times New Roman"/>
          <w:spacing w:val="40"/>
        </w:rPr>
        <w:t> </w:t>
      </w:r>
      <w:r>
        <w:rPr>
          <w:w w:val="95"/>
        </w:rPr>
        <w:t>部</w:t>
      </w:r>
      <w:r>
        <w:rPr>
          <w:w w:val="95"/>
        </w:rPr>
        <w:t>门</w:t>
      </w:r>
      <w:r>
        <w:rPr>
          <w:w w:val="95"/>
        </w:rPr>
        <w:t>的</w:t>
      </w:r>
      <w:r>
        <w:rPr>
          <w:w w:val="95"/>
        </w:rPr>
        <w:t>一</w:t>
      </w:r>
      <w:r>
        <w:rPr>
          <w:w w:val="95"/>
        </w:rPr>
        <w:t>项</w:t>
      </w:r>
      <w:r>
        <w:rPr>
          <w:w w:val="95"/>
        </w:rPr>
        <w:t>工</w:t>
      </w:r>
      <w:r>
        <w:rPr>
          <w:w w:val="95"/>
        </w:rPr>
        <w:t>作，业务</w:t>
      </w:r>
      <w:r>
        <w:rPr>
          <w:w w:val="95"/>
        </w:rPr>
        <w:t>部</w:t>
      </w:r>
      <w:r>
        <w:rPr>
          <w:w w:val="95"/>
        </w:rPr>
        <w:t>门</w:t>
      </w:r>
      <w:r>
        <w:rPr>
          <w:w w:val="95"/>
        </w:rPr>
        <w:t>配</w:t>
      </w:r>
      <w:r>
        <w:rPr>
          <w:w w:val="95"/>
        </w:rPr>
        <w:t>合</w:t>
      </w:r>
      <w:r>
        <w:rPr>
          <w:w w:val="95"/>
        </w:rPr>
        <w:t> </w:t>
      </w:r>
      <w:r>
        <w:rPr>
          <w:rFonts w:ascii="Times New Roman" w:eastAsia="Times New Roman"/>
          <w:w w:val="95"/>
        </w:rPr>
        <w:t>IT</w:t>
      </w:r>
      <w:r>
        <w:rPr>
          <w:rFonts w:ascii="Times New Roman" w:eastAsia="Times New Roman"/>
          <w:spacing w:val="40"/>
        </w:rPr>
        <w:t> </w:t>
      </w:r>
      <w:r>
        <w:rPr>
          <w:w w:val="95"/>
        </w:rPr>
        <w:t>部</w:t>
      </w:r>
      <w:r>
        <w:rPr>
          <w:w w:val="95"/>
        </w:rPr>
        <w:t>门</w:t>
      </w:r>
      <w:r>
        <w:rPr>
          <w:w w:val="95"/>
        </w:rPr>
        <w:t>执</w:t>
      </w:r>
      <w:r>
        <w:rPr>
          <w:w w:val="95"/>
        </w:rPr>
        <w:t>行</w:t>
      </w:r>
      <w:r>
        <w:rPr>
          <w:w w:val="95"/>
        </w:rPr>
        <w:t>数据管理，提出需</w:t>
      </w:r>
      <w:r>
        <w:rPr>
          <w:spacing w:val="-4"/>
        </w:rPr>
        <w:t>求。随着数据分析与业务融合越来越深入，业务部门逐步成为大数据</w:t>
      </w:r>
      <w:r>
        <w:rPr>
          <w:spacing w:val="-7"/>
        </w:rPr>
        <w:t>应用的主角，因而数据资产管理在企业中扮演越来越重要的角色。出</w:t>
      </w:r>
    </w:p>
    <w:p>
      <w:pPr>
        <w:pStyle w:val="BodyText"/>
        <w:spacing w:before="4"/>
        <w:rPr>
          <w:sz w:val="23"/>
        </w:rPr>
      </w:pPr>
      <w:r>
        <w:rPr/>
        <w:pict>
          <v:rect style="position:absolute;margin-left:90.024002pt;margin-top:16.139696pt;width:144.020pt;height:.72003pt;mso-position-horizontal-relative:page;mso-position-vertical-relative:paragraph;z-index:-15723008;mso-wrap-distance-left:0;mso-wrap-distance-right:0" id="docshape43" filled="true" fillcolor="#000000" stroked="false">
            <v:fill type="solid"/>
            <w10:wrap type="topAndBottom"/>
          </v:rect>
        </w:pict>
      </w:r>
    </w:p>
    <w:p>
      <w:pPr>
        <w:spacing w:line="242" w:lineRule="auto" w:before="98"/>
        <w:ind w:left="1320" w:right="1315" w:firstLine="0"/>
        <w:jc w:val="both"/>
        <w:rPr>
          <w:rFonts w:ascii="宋体" w:hAnsi="宋体" w:eastAsia="宋体"/>
          <w:sz w:val="18"/>
        </w:rPr>
      </w:pPr>
      <w:r>
        <w:rPr>
          <w:rFonts w:ascii="宋体" w:hAnsi="宋体" w:eastAsia="宋体"/>
          <w:spacing w:val="18"/>
          <w:position w:val="9"/>
          <w:sz w:val="9"/>
        </w:rPr>
        <w:t>⑦ </w:t>
      </w:r>
      <w:r>
        <w:rPr>
          <w:rFonts w:ascii="宋体" w:hAnsi="宋体" w:eastAsia="宋体"/>
          <w:spacing w:val="-4"/>
          <w:sz w:val="18"/>
        </w:rPr>
        <w:t>数据湖（</w:t>
      </w:r>
      <w:r>
        <w:rPr>
          <w:rFonts w:ascii="Times New Roman" w:hAnsi="Times New Roman" w:eastAsia="Times New Roman"/>
          <w:spacing w:val="-4"/>
          <w:sz w:val="18"/>
        </w:rPr>
        <w:t>Data Lake</w:t>
      </w:r>
      <w:r>
        <w:rPr>
          <w:rFonts w:ascii="宋体" w:hAnsi="宋体" w:eastAsia="宋体"/>
          <w:spacing w:val="-4"/>
          <w:sz w:val="18"/>
        </w:rPr>
        <w:t>）：数据湖是一种在系统或存储库中以自然格式存储数据的方法。通常以对象块或文件</w:t>
      </w:r>
      <w:r>
        <w:rPr>
          <w:rFonts w:ascii="宋体" w:hAnsi="宋体" w:eastAsia="宋体"/>
          <w:spacing w:val="-2"/>
          <w:sz w:val="18"/>
        </w:rPr>
        <w:t>等模式和结构形式匹配数据。数据湖的主要目的是对企业中所有数据进行统一存储，从原始数据转换为用</w:t>
      </w:r>
      <w:r>
        <w:rPr>
          <w:rFonts w:ascii="宋体" w:hAnsi="宋体" w:eastAsia="宋体"/>
          <w:spacing w:val="-2"/>
          <w:sz w:val="18"/>
        </w:rPr>
        <w:t>于报告、可视化和机器学习等各种转换后的数据。数据湖能够存储结构化数据，半结构化数据以及非结构</w:t>
      </w:r>
      <w:r>
        <w:rPr>
          <w:rFonts w:ascii="宋体" w:hAnsi="宋体" w:eastAsia="宋体"/>
          <w:spacing w:val="-2"/>
          <w:sz w:val="18"/>
        </w:rPr>
        <w:t>化数据。来源：维基百科</w:t>
      </w:r>
    </w:p>
    <w:p>
      <w:pPr>
        <w:spacing w:before="19"/>
        <w:ind w:left="1329" w:right="1325" w:firstLine="0"/>
        <w:jc w:val="center"/>
        <w:rPr>
          <w:rFonts w:ascii="Times New Roman"/>
          <w:sz w:val="18"/>
        </w:rPr>
      </w:pPr>
      <w:r>
        <w:rPr>
          <w:rFonts w:ascii="Times New Roman"/>
          <w:spacing w:val="-5"/>
          <w:sz w:val="18"/>
        </w:rPr>
        <w:t>10</w:t>
      </w:r>
    </w:p>
    <w:p>
      <w:pPr>
        <w:spacing w:after="0"/>
        <w:jc w:val="center"/>
        <w:rPr>
          <w:rFonts w:ascii="Times New Roman"/>
          <w:sz w:val="18"/>
        </w:rPr>
        <w:sectPr>
          <w:headerReference w:type="default" r:id="rId20"/>
          <w:pgSz w:w="11910" w:h="16840"/>
          <w:pgMar w:header="877" w:footer="0" w:top="1100" w:bottom="280" w:left="480" w:right="480"/>
        </w:sectPr>
      </w:pPr>
    </w:p>
    <w:p>
      <w:pPr>
        <w:pStyle w:val="BodyText"/>
        <w:rPr>
          <w:rFonts w:ascii="Times New Roman"/>
          <w:sz w:val="20"/>
        </w:rPr>
      </w:pPr>
    </w:p>
    <w:p>
      <w:pPr>
        <w:pStyle w:val="BodyText"/>
        <w:spacing w:before="225"/>
        <w:ind w:left="1320"/>
      </w:pPr>
      <w:r>
        <w:rPr/>
        <w:t>现了越来越多的企业设置专门的</w:t>
      </w:r>
      <w:r>
        <w:rPr>
          <w:rFonts w:ascii="Times New Roman" w:hAnsi="Times New Roman" w:eastAsia="Times New Roman"/>
        </w:rPr>
        <w:t>“</w:t>
      </w:r>
      <w:r>
        <w:rPr>
          <w:spacing w:val="2"/>
        </w:rPr>
        <w:t>数据管理</w:t>
      </w:r>
      <w:r>
        <w:rPr>
          <w:rFonts w:ascii="Times New Roman" w:hAnsi="Times New Roman" w:eastAsia="Times New Roman"/>
        </w:rPr>
        <w:t>”</w:t>
      </w:r>
      <w:r>
        <w:rPr>
          <w:spacing w:val="-1"/>
        </w:rPr>
        <w:t>职能部门或首席数据官</w:t>
      </w:r>
    </w:p>
    <w:p>
      <w:pPr>
        <w:pStyle w:val="BodyText"/>
        <w:spacing w:line="417" w:lineRule="auto" w:before="265"/>
        <w:ind w:left="1320" w:right="1315"/>
      </w:pPr>
      <w:r>
        <w:rPr/>
        <w:t>（</w:t>
      </w:r>
      <w:r>
        <w:rPr>
          <w:rFonts w:ascii="Times New Roman" w:eastAsia="Times New Roman"/>
        </w:rPr>
        <w:t>CDO</w:t>
      </w:r>
      <w:r>
        <w:rPr/>
        <w:t>，</w:t>
      </w:r>
      <w:r>
        <w:rPr>
          <w:rFonts w:ascii="Times New Roman" w:eastAsia="Times New Roman"/>
        </w:rPr>
        <w:t>Chief</w:t>
      </w:r>
      <w:r>
        <w:rPr>
          <w:rFonts w:ascii="Times New Roman" w:eastAsia="Times New Roman"/>
          <w:spacing w:val="-7"/>
        </w:rPr>
        <w:t> </w:t>
      </w:r>
      <w:r>
        <w:rPr>
          <w:rFonts w:ascii="Times New Roman" w:eastAsia="Times New Roman"/>
        </w:rPr>
        <w:t>Data</w:t>
      </w:r>
      <w:r>
        <w:rPr>
          <w:rFonts w:ascii="Times New Roman" w:eastAsia="Times New Roman"/>
          <w:spacing w:val="-9"/>
        </w:rPr>
        <w:t> </w:t>
      </w:r>
      <w:r>
        <w:rPr>
          <w:rFonts w:ascii="Times New Roman" w:eastAsia="Times New Roman"/>
        </w:rPr>
        <w:t>Officer</w:t>
      </w:r>
      <w:r>
        <w:rPr/>
        <w:t>）岗位。在这种变迁背景下，数据管理的</w:t>
      </w:r>
      <w:r>
        <w:rPr>
          <w:spacing w:val="-2"/>
        </w:rPr>
        <w:t>组织架构也面临革新的需求。</w:t>
      </w:r>
    </w:p>
    <w:p>
      <w:pPr>
        <w:pStyle w:val="Heading3"/>
        <w:numPr>
          <w:ilvl w:val="0"/>
          <w:numId w:val="8"/>
        </w:numPr>
        <w:tabs>
          <w:tab w:pos="2580" w:val="left" w:leader="none"/>
          <w:tab w:pos="2581" w:val="left" w:leader="none"/>
        </w:tabs>
        <w:spacing w:line="240" w:lineRule="auto" w:before="211" w:after="0"/>
        <w:ind w:left="2580" w:right="0" w:hanging="620"/>
        <w:jc w:val="left"/>
      </w:pPr>
      <w:bookmarkStart w:name="_bookmark16" w:id="17"/>
      <w:bookmarkEnd w:id="17"/>
      <w:r>
        <w:rPr>
          <w:w w:val="95"/>
        </w:rPr>
        <w:t>管</w:t>
      </w:r>
      <w:r>
        <w:rPr>
          <w:w w:val="95"/>
        </w:rPr>
        <w:t>理</w:t>
      </w:r>
      <w:r>
        <w:rPr>
          <w:w w:val="95"/>
        </w:rPr>
        <w:t>手</w:t>
      </w:r>
      <w:r>
        <w:rPr>
          <w:w w:val="95"/>
        </w:rPr>
        <w:t>段</w:t>
      </w:r>
      <w:r>
        <w:rPr>
          <w:w w:val="95"/>
        </w:rPr>
        <w:t>自</w:t>
      </w:r>
      <w:r>
        <w:rPr>
          <w:w w:val="95"/>
        </w:rPr>
        <w:t>动</w:t>
      </w:r>
      <w:r>
        <w:rPr>
          <w:w w:val="95"/>
        </w:rPr>
        <w:t>智</w:t>
      </w:r>
      <w:r>
        <w:rPr>
          <w:spacing w:val="-10"/>
          <w:w w:val="95"/>
        </w:rPr>
        <w:t>能</w:t>
      </w:r>
    </w:p>
    <w:p>
      <w:pPr>
        <w:pStyle w:val="BodyText"/>
        <w:spacing w:line="417" w:lineRule="auto" w:before="302"/>
        <w:ind w:left="1320" w:right="1313" w:firstLine="559"/>
        <w:jc w:val="both"/>
      </w:pPr>
      <w:r>
        <w:rPr>
          <w:spacing w:val="4"/>
        </w:rPr>
        <w:t>依靠</w:t>
      </w:r>
      <w:r>
        <w:rPr>
          <w:rFonts w:ascii="Times New Roman" w:hAnsi="Times New Roman" w:eastAsia="Times New Roman"/>
        </w:rPr>
        <w:t>“</w:t>
      </w:r>
      <w:r>
        <w:rPr>
          <w:spacing w:val="2"/>
        </w:rPr>
        <w:t>手工人力</w:t>
      </w:r>
      <w:r>
        <w:rPr>
          <w:rFonts w:ascii="Times New Roman" w:hAnsi="Times New Roman" w:eastAsia="Times New Roman"/>
        </w:rPr>
        <w:t>”</w:t>
      </w:r>
      <w:r>
        <w:rPr/>
        <w:t>的电子表格数据治理模式即将被</w:t>
      </w:r>
      <w:r>
        <w:rPr>
          <w:rFonts w:ascii="Times New Roman" w:hAnsi="Times New Roman" w:eastAsia="Times New Roman"/>
        </w:rPr>
        <w:t>“</w:t>
      </w:r>
      <w:r>
        <w:rPr>
          <w:spacing w:val="2"/>
        </w:rPr>
        <w:t>自动智能</w:t>
      </w:r>
      <w:r>
        <w:rPr>
          <w:rFonts w:ascii="Times New Roman" w:hAnsi="Times New Roman" w:eastAsia="Times New Roman"/>
        </w:rPr>
        <w:t>”</w:t>
      </w:r>
      <w:r>
        <w:rPr/>
        <w:t>的</w:t>
      </w:r>
      <w:r>
        <w:rPr>
          <w:spacing w:val="40"/>
        </w:rPr>
        <w:t> </w:t>
      </w:r>
      <w:r>
        <w:rPr>
          <w:rFonts w:ascii="Times New Roman" w:hAnsi="Times New Roman" w:eastAsia="Times New Roman"/>
          <w:spacing w:val="-2"/>
        </w:rPr>
        <w:t>“</w:t>
      </w:r>
      <w:r>
        <w:rPr>
          <w:spacing w:val="-2"/>
        </w:rPr>
        <w:t>专业工具</w:t>
      </w:r>
      <w:r>
        <w:rPr>
          <w:rFonts w:ascii="Times New Roman" w:hAnsi="Times New Roman" w:eastAsia="Times New Roman"/>
          <w:spacing w:val="-2"/>
        </w:rPr>
        <w:t>”</w:t>
      </w:r>
      <w:r>
        <w:rPr>
          <w:spacing w:val="-2"/>
        </w:rPr>
        <w:t>取代，越来越多的数据管理员、业务分析师和数据领导者</w:t>
      </w:r>
      <w:r>
        <w:rPr>
          <w:spacing w:val="-2"/>
        </w:rPr>
        <w:t>采用</w:t>
      </w:r>
      <w:r>
        <w:rPr>
          <w:rFonts w:ascii="Times New Roman" w:hAnsi="Times New Roman" w:eastAsia="Times New Roman"/>
          <w:spacing w:val="-2"/>
        </w:rPr>
        <w:t>“</w:t>
      </w:r>
      <w:r>
        <w:rPr>
          <w:spacing w:val="-2"/>
        </w:rPr>
        <w:t>平台工具</w:t>
      </w:r>
      <w:r>
        <w:rPr>
          <w:rFonts w:ascii="Times New Roman" w:hAnsi="Times New Roman" w:eastAsia="Times New Roman"/>
          <w:spacing w:val="-2"/>
        </w:rPr>
        <w:t>”</w:t>
      </w:r>
      <w:r>
        <w:rPr>
          <w:spacing w:val="-2"/>
        </w:rPr>
        <w:t>来梳理元数据、主数据，构建模型和管控质量。随着</w:t>
      </w:r>
      <w:r>
        <w:rPr>
          <w:spacing w:val="-9"/>
        </w:rPr>
        <w:t>机器学习、深度学习技术的成熟，相关专项解决方案和平台工具系统</w:t>
      </w:r>
      <w:r>
        <w:rPr>
          <w:spacing w:val="-4"/>
        </w:rPr>
        <w:t>的技术局限性如效率低、差错率高、扩展性差等将被一一攻破，能够</w:t>
      </w:r>
      <w:r>
        <w:rPr>
          <w:spacing w:val="-2"/>
        </w:rPr>
        <w:t>有效地解放人力，提高效率和精度。</w:t>
      </w:r>
    </w:p>
    <w:p>
      <w:pPr>
        <w:pStyle w:val="Heading3"/>
        <w:numPr>
          <w:ilvl w:val="0"/>
          <w:numId w:val="8"/>
        </w:numPr>
        <w:tabs>
          <w:tab w:pos="2580" w:val="left" w:leader="none"/>
          <w:tab w:pos="2581" w:val="left" w:leader="none"/>
        </w:tabs>
        <w:spacing w:line="240" w:lineRule="auto" w:before="212" w:after="0"/>
        <w:ind w:left="2580" w:right="0" w:hanging="620"/>
        <w:jc w:val="left"/>
      </w:pPr>
      <w:bookmarkStart w:name="_bookmark17" w:id="18"/>
      <w:bookmarkEnd w:id="18"/>
      <w:r>
        <w:rPr>
          <w:w w:val="95"/>
        </w:rPr>
        <w:t>应</w:t>
      </w:r>
      <w:r>
        <w:rPr>
          <w:w w:val="95"/>
        </w:rPr>
        <w:t>用</w:t>
      </w:r>
      <w:r>
        <w:rPr>
          <w:w w:val="95"/>
        </w:rPr>
        <w:t>范</w:t>
      </w:r>
      <w:r>
        <w:rPr>
          <w:w w:val="95"/>
        </w:rPr>
        <w:t>围</w:t>
      </w:r>
      <w:r>
        <w:rPr>
          <w:w w:val="95"/>
        </w:rPr>
        <w:t>不</w:t>
      </w:r>
      <w:r>
        <w:rPr>
          <w:w w:val="95"/>
        </w:rPr>
        <w:t>断</w:t>
      </w:r>
      <w:r>
        <w:rPr>
          <w:w w:val="95"/>
        </w:rPr>
        <w:t>扩</w:t>
      </w:r>
      <w:r>
        <w:rPr>
          <w:spacing w:val="-10"/>
          <w:w w:val="95"/>
        </w:rPr>
        <w:t>大</w:t>
      </w:r>
    </w:p>
    <w:p>
      <w:pPr>
        <w:pStyle w:val="BodyText"/>
        <w:spacing w:line="417" w:lineRule="auto" w:before="302"/>
        <w:ind w:left="1320" w:right="1313" w:firstLine="700"/>
        <w:jc w:val="both"/>
      </w:pPr>
      <w:r>
        <w:rPr>
          <w:spacing w:val="-2"/>
        </w:rPr>
        <w:t>数据的应用范围在不断扩大，由传统的支持管理需要的战略决</w:t>
      </w:r>
      <w:r>
        <w:rPr>
          <w:spacing w:val="-4"/>
        </w:rPr>
        <w:t>策分析为主，发展为支撑业务一线业务场景的战术性决策。数据资产</w:t>
      </w:r>
      <w:r>
        <w:rPr>
          <w:spacing w:val="-6"/>
        </w:rPr>
        <w:t>的意义价值也从对内强化能力扩展到了对外合作开放上，从而实现数</w:t>
      </w:r>
      <w:r>
        <w:rPr>
          <w:spacing w:val="-4"/>
        </w:rPr>
        <w:t>据资产保值到增值的跨越。</w:t>
      </w:r>
      <w:r>
        <w:rPr>
          <w:rFonts w:ascii="黑体" w:eastAsia="黑体"/>
          <w:spacing w:val="-4"/>
        </w:rPr>
        <w:t>战略决策分析</w:t>
      </w:r>
      <w:r>
        <w:rPr>
          <w:spacing w:val="-4"/>
        </w:rPr>
        <w:t>一般包括管理优化、研判决</w:t>
      </w:r>
      <w:r>
        <w:rPr>
          <w:spacing w:val="-4"/>
        </w:rPr>
        <w:t>策、风险合规、业务拓展、管控成本等。由原来的只应用于领导决策</w:t>
      </w:r>
      <w:r>
        <w:rPr>
          <w:spacing w:val="-4"/>
        </w:rPr>
        <w:t>场景扩展到部门级业务分析使用。</w:t>
      </w:r>
      <w:r>
        <w:rPr>
          <w:rFonts w:ascii="黑体" w:eastAsia="黑体"/>
          <w:spacing w:val="-4"/>
        </w:rPr>
        <w:t>战术性决策</w:t>
      </w:r>
      <w:r>
        <w:rPr>
          <w:spacing w:val="-4"/>
        </w:rPr>
        <w:t>包括智能推荐、精准营</w:t>
      </w:r>
      <w:r>
        <w:rPr>
          <w:spacing w:val="-4"/>
        </w:rPr>
        <w:t>销、分析报告以及风险防范等。在跨企业的业务合作中，数据不可避</w:t>
      </w:r>
      <w:r>
        <w:rPr>
          <w:spacing w:val="-8"/>
        </w:rPr>
        <w:t>免的也会流通到上下游的合作伙伴。从使用对象来看，数据资产的使</w:t>
      </w:r>
      <w:r>
        <w:rPr>
          <w:spacing w:val="-4"/>
        </w:rPr>
        <w:t>用者不仅包括企业决策人员，还包括运维用户、业务管理人员、数据</w:t>
      </w:r>
      <w:r>
        <w:rPr>
          <w:spacing w:val="-7"/>
        </w:rPr>
        <w:t>分析人员、数据科学家等各种角色。数据应用范围越广，就越需要智</w:t>
      </w:r>
    </w:p>
    <w:p>
      <w:pPr>
        <w:pStyle w:val="BodyText"/>
        <w:spacing w:before="6"/>
        <w:rPr>
          <w:sz w:val="20"/>
        </w:rPr>
      </w:pPr>
    </w:p>
    <w:p>
      <w:pPr>
        <w:spacing w:before="93"/>
        <w:ind w:left="1329" w:right="1332" w:firstLine="0"/>
        <w:jc w:val="center"/>
        <w:rPr>
          <w:rFonts w:ascii="Times New Roman"/>
          <w:sz w:val="18"/>
        </w:rPr>
      </w:pPr>
      <w:r>
        <w:rPr>
          <w:rFonts w:ascii="Times New Roman"/>
          <w:spacing w:val="-5"/>
          <w:sz w:val="18"/>
        </w:rPr>
        <w:t>11</w:t>
      </w:r>
    </w:p>
    <w:p>
      <w:pPr>
        <w:spacing w:after="0"/>
        <w:jc w:val="center"/>
        <w:rPr>
          <w:rFonts w:ascii="Times New Roman"/>
          <w:sz w:val="18"/>
        </w:rPr>
        <w:sectPr>
          <w:headerReference w:type="default" r:id="rId21"/>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6"/>
      </w:pPr>
      <w:r>
        <w:rPr>
          <w:spacing w:val="-6"/>
        </w:rPr>
        <w:t>能化的数据资产管理技术及完备的管理制度作为支撑，从而实现数据</w:t>
      </w:r>
      <w:r>
        <w:rPr>
          <w:spacing w:val="-2"/>
        </w:rPr>
        <w:t>精细化管控和数据价值最大化。</w:t>
      </w:r>
    </w:p>
    <w:p>
      <w:pPr>
        <w:pStyle w:val="Heading3"/>
        <w:spacing w:before="211"/>
        <w:ind w:left="1961" w:firstLine="0"/>
        <w:rPr>
          <w:rFonts w:ascii="黑体" w:eastAsia="黑体"/>
        </w:rPr>
      </w:pPr>
      <w:bookmarkStart w:name="_bookmark18" w:id="19"/>
      <w:bookmarkEnd w:id="19"/>
      <w:r>
        <w:rPr/>
      </w:r>
      <w:r>
        <w:rPr>
          <w:rFonts w:ascii="黑体" w:eastAsia="黑体"/>
          <w:spacing w:val="8"/>
        </w:rPr>
        <w:t>二、  数</w:t>
      </w:r>
      <w:r>
        <w:rPr>
          <w:rFonts w:ascii="黑体" w:eastAsia="黑体"/>
        </w:rPr>
        <w:t>据</w:t>
      </w:r>
      <w:r>
        <w:rPr>
          <w:rFonts w:ascii="黑体" w:eastAsia="黑体"/>
        </w:rPr>
        <w:t>资</w:t>
      </w:r>
      <w:r>
        <w:rPr>
          <w:rFonts w:ascii="黑体" w:eastAsia="黑体"/>
        </w:rPr>
        <w:t>产</w:t>
      </w:r>
      <w:r>
        <w:rPr>
          <w:rFonts w:ascii="黑体" w:eastAsia="黑体"/>
        </w:rPr>
        <w:t>管</w:t>
      </w:r>
      <w:r>
        <w:rPr>
          <w:rFonts w:ascii="黑体" w:eastAsia="黑体"/>
        </w:rPr>
        <w:t>理</w:t>
      </w:r>
      <w:r>
        <w:rPr>
          <w:rFonts w:ascii="黑体" w:eastAsia="黑体"/>
        </w:rPr>
        <w:t>的</w:t>
      </w:r>
      <w:r>
        <w:rPr>
          <w:rFonts w:ascii="黑体" w:eastAsia="黑体"/>
        </w:rPr>
        <w:t>主</w:t>
      </w:r>
      <w:r>
        <w:rPr>
          <w:rFonts w:ascii="黑体" w:eastAsia="黑体"/>
        </w:rPr>
        <w:t>要</w:t>
      </w:r>
      <w:r>
        <w:rPr>
          <w:rFonts w:ascii="黑体" w:eastAsia="黑体"/>
        </w:rPr>
        <w:t>内</w:t>
      </w:r>
      <w:r>
        <w:rPr>
          <w:rFonts w:ascii="黑体" w:eastAsia="黑体"/>
          <w:spacing w:val="-10"/>
        </w:rPr>
        <w:t>容</w:t>
      </w:r>
    </w:p>
    <w:p>
      <w:pPr>
        <w:pStyle w:val="BodyText"/>
        <w:spacing w:before="7"/>
        <w:rPr>
          <w:rFonts w:ascii="黑体"/>
          <w:sz w:val="23"/>
        </w:rPr>
      </w:pPr>
    </w:p>
    <w:p>
      <w:pPr>
        <w:pStyle w:val="BodyText"/>
        <w:spacing w:line="417" w:lineRule="auto"/>
        <w:ind w:left="1320" w:right="1316" w:firstLine="559"/>
        <w:jc w:val="both"/>
      </w:pPr>
      <w:r>
        <w:rPr/>
        <w:drawing>
          <wp:anchor distT="0" distB="0" distL="0" distR="0" allowOverlap="1" layoutInCell="1" locked="0" behindDoc="1" simplePos="0" relativeHeight="485507072">
            <wp:simplePos x="0" y="0"/>
            <wp:positionH relativeFrom="page">
              <wp:posOffset>1984120</wp:posOffset>
            </wp:positionH>
            <wp:positionV relativeFrom="paragraph">
              <wp:posOffset>1528233</wp:posOffset>
            </wp:positionV>
            <wp:extent cx="3719195" cy="1943057"/>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23" cstate="print"/>
                    <a:stretch>
                      <a:fillRect/>
                    </a:stretch>
                  </pic:blipFill>
                  <pic:spPr>
                    <a:xfrm>
                      <a:off x="0" y="0"/>
                      <a:ext cx="3719195" cy="1943057"/>
                    </a:xfrm>
                    <a:prstGeom prst="rect">
                      <a:avLst/>
                    </a:prstGeom>
                  </pic:spPr>
                </pic:pic>
              </a:graphicData>
            </a:graphic>
          </wp:anchor>
        </w:drawing>
      </w:r>
      <w:r>
        <w:rPr/>
        <w:t>数据资产管理框架如</w:t>
      </w:r>
      <w:hyperlink w:history="true" w:anchor="_bookmark19">
        <w:r>
          <w:rPr>
            <w:spacing w:val="-18"/>
          </w:rPr>
          <w:t>图 </w:t>
        </w:r>
        <w:r>
          <w:rPr>
            <w:rFonts w:ascii="Times New Roman" w:eastAsia="Times New Roman"/>
          </w:rPr>
          <w:t>3</w:t>
        </w:r>
        <w:r>
          <w:rPr>
            <w:rFonts w:ascii="Times New Roman" w:eastAsia="Times New Roman"/>
            <w:spacing w:val="14"/>
          </w:rPr>
          <w:t> </w:t>
        </w:r>
      </w:hyperlink>
      <w:r>
        <w:rPr>
          <w:spacing w:val="-6"/>
        </w:rPr>
        <w:t>所示，包含 </w:t>
      </w:r>
      <w:r>
        <w:rPr>
          <w:rFonts w:ascii="Times New Roman" w:eastAsia="Times New Roman"/>
        </w:rPr>
        <w:t>8</w:t>
      </w:r>
      <w:r>
        <w:rPr>
          <w:rFonts w:ascii="Times New Roman" w:eastAsia="Times New Roman"/>
          <w:spacing w:val="18"/>
        </w:rPr>
        <w:t> </w:t>
      </w:r>
      <w:r>
        <w:rPr>
          <w:spacing w:val="-5"/>
        </w:rPr>
        <w:t>个管理职能和 </w:t>
      </w:r>
      <w:r>
        <w:rPr>
          <w:rFonts w:ascii="Times New Roman" w:eastAsia="Times New Roman"/>
        </w:rPr>
        <w:t>5</w:t>
      </w:r>
      <w:r>
        <w:rPr>
          <w:rFonts w:ascii="Times New Roman" w:eastAsia="Times New Roman"/>
          <w:spacing w:val="16"/>
        </w:rPr>
        <w:t> </w:t>
      </w:r>
      <w:r>
        <w:rPr/>
        <w:t>个保障</w:t>
      </w:r>
      <w:r>
        <w:rPr>
          <w:spacing w:val="-4"/>
        </w:rPr>
        <w:t>措施。管理职能是指落实数据资产管理的一系列具体行为，保障措施</w:t>
      </w:r>
      <w:r>
        <w:rPr>
          <w:spacing w:val="-7"/>
        </w:rPr>
        <w:t>是为了支持管理职能实现的一些辅助工作。本章主要描述具体的管理</w:t>
      </w:r>
      <w:r>
        <w:rPr>
          <w:spacing w:val="-2"/>
        </w:rPr>
        <w:t>职能和保障措施的详细内容。</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9"/>
        <w:ind w:left="1329" w:right="1150" w:firstLine="0"/>
        <w:jc w:val="center"/>
        <w:rPr>
          <w:sz w:val="24"/>
        </w:rPr>
      </w:pPr>
      <w:bookmarkStart w:name="_bookmark19" w:id="20"/>
      <w:bookmarkEnd w:id="20"/>
      <w:r>
        <w:rPr/>
      </w:r>
      <w:r>
        <w:rPr>
          <w:spacing w:val="7"/>
          <w:sz w:val="24"/>
        </w:rPr>
        <w:t>图 </w:t>
      </w:r>
      <w:r>
        <w:rPr>
          <w:rFonts w:ascii="Times New Roman" w:eastAsia="Times New Roman"/>
          <w:sz w:val="24"/>
        </w:rPr>
        <w:t>3</w:t>
      </w:r>
      <w:r>
        <w:rPr>
          <w:rFonts w:ascii="Times New Roman" w:eastAsia="Times New Roman"/>
          <w:spacing w:val="64"/>
          <w:sz w:val="24"/>
        </w:rPr>
        <w:t> </w:t>
      </w:r>
      <w:r>
        <w:rPr>
          <w:spacing w:val="15"/>
          <w:sz w:val="24"/>
        </w:rPr>
        <w:t>数据资产管理体系架构</w:t>
      </w:r>
    </w:p>
    <w:p>
      <w:pPr>
        <w:pStyle w:val="BodyText"/>
        <w:spacing w:before="1"/>
        <w:rPr>
          <w:sz w:val="33"/>
        </w:rPr>
      </w:pPr>
    </w:p>
    <w:p>
      <w:pPr>
        <w:pStyle w:val="Heading2"/>
        <w:spacing w:before="0"/>
      </w:pPr>
      <w:bookmarkStart w:name="_bookmark20" w:id="21"/>
      <w:bookmarkEnd w:id="21"/>
      <w:r>
        <w:rPr>
          <w:b w:val="0"/>
        </w:rPr>
      </w:r>
      <w:r>
        <w:rPr>
          <w:rFonts w:ascii="Times New Roman" w:eastAsia="Times New Roman"/>
        </w:rPr>
        <w:t>(</w:t>
      </w:r>
      <w:r>
        <w:rPr/>
        <w:t>一</w:t>
      </w:r>
      <w:r>
        <w:rPr>
          <w:rFonts w:ascii="Times New Roman" w:eastAsia="Times New Roman"/>
          <w:spacing w:val="-3"/>
        </w:rPr>
        <w:t>) </w:t>
      </w:r>
      <w:r>
        <w:rPr/>
        <w:t>管</w:t>
      </w:r>
      <w:r>
        <w:rPr/>
        <w:t>理</w:t>
      </w:r>
      <w:r>
        <w:rPr/>
        <w:t>职</w:t>
      </w:r>
      <w:r>
        <w:rPr>
          <w:spacing w:val="-10"/>
        </w:rPr>
        <w:t>能</w:t>
      </w:r>
    </w:p>
    <w:p>
      <w:pPr>
        <w:pStyle w:val="BodyText"/>
        <w:spacing w:line="417" w:lineRule="auto" w:before="302"/>
        <w:ind w:left="1320" w:right="1311" w:firstLine="559"/>
        <w:jc w:val="both"/>
      </w:pPr>
      <w:r>
        <w:rPr>
          <w:spacing w:val="-4"/>
        </w:rPr>
        <w:t>数据资产管理的管理职能包括数据标准管理、数据模型管理、元</w:t>
      </w:r>
      <w:r>
        <w:rPr>
          <w:spacing w:val="-4"/>
        </w:rPr>
        <w:t>数据管理、主数据管理、数据质量管理、数据安全管理、数据价值管</w:t>
      </w:r>
      <w:r>
        <w:rPr>
          <w:spacing w:val="-3"/>
        </w:rPr>
        <w:t>理以及数据共享管理等 </w:t>
      </w:r>
      <w:r>
        <w:rPr>
          <w:rFonts w:ascii="Times New Roman" w:eastAsia="Times New Roman"/>
        </w:rPr>
        <w:t>8 </w:t>
      </w:r>
      <w:r>
        <w:rPr/>
        <w:t>个方面，详细阐述如下。</w:t>
      </w:r>
    </w:p>
    <w:p>
      <w:pPr>
        <w:pStyle w:val="Heading3"/>
        <w:numPr>
          <w:ilvl w:val="0"/>
          <w:numId w:val="9"/>
        </w:numPr>
        <w:tabs>
          <w:tab w:pos="2580" w:val="left" w:leader="none"/>
          <w:tab w:pos="2581" w:val="left" w:leader="none"/>
        </w:tabs>
        <w:spacing w:line="240" w:lineRule="auto" w:before="212" w:after="0"/>
        <w:ind w:left="2580" w:right="0" w:hanging="620"/>
        <w:jc w:val="left"/>
      </w:pPr>
      <w:bookmarkStart w:name="_bookmark21" w:id="22"/>
      <w:bookmarkEnd w:id="22"/>
      <w:r>
        <w:rPr>
          <w:w w:val="95"/>
        </w:rPr>
        <w:t>数</w:t>
      </w:r>
      <w:r>
        <w:rPr>
          <w:w w:val="95"/>
        </w:rPr>
        <w:t>据</w:t>
      </w:r>
      <w:r>
        <w:rPr>
          <w:w w:val="95"/>
        </w:rPr>
        <w:t>标</w:t>
      </w:r>
      <w:r>
        <w:rPr>
          <w:w w:val="95"/>
        </w:rPr>
        <w:t>准</w:t>
      </w:r>
      <w:r>
        <w:rPr>
          <w:w w:val="95"/>
        </w:rPr>
        <w:t>管</w:t>
      </w:r>
      <w:r>
        <w:rPr>
          <w:spacing w:val="-10"/>
          <w:w w:val="95"/>
        </w:rPr>
        <w:t>理</w:t>
      </w:r>
    </w:p>
    <w:p>
      <w:pPr>
        <w:pStyle w:val="BodyText"/>
        <w:spacing w:line="417" w:lineRule="auto" w:before="302"/>
        <w:ind w:left="1320" w:right="1317" w:firstLine="559"/>
        <w:jc w:val="right"/>
      </w:pPr>
      <w:r>
        <w:rPr>
          <w:rFonts w:ascii="黑体" w:eastAsia="黑体"/>
          <w:spacing w:val="-2"/>
        </w:rPr>
        <w:t>数据标准</w:t>
      </w:r>
      <w:r>
        <w:rPr>
          <w:spacing w:val="-2"/>
        </w:rPr>
        <w:t>是指保障数据的内外部使用和交换的一致性和准确性</w:t>
      </w:r>
      <w:r>
        <w:rPr>
          <w:spacing w:val="-6"/>
        </w:rPr>
        <w:t>的规范性约束。</w:t>
      </w:r>
      <w:r>
        <w:rPr>
          <w:rFonts w:ascii="黑体" w:eastAsia="黑体"/>
          <w:spacing w:val="-6"/>
        </w:rPr>
        <w:t>数据标准</w:t>
      </w:r>
      <w:r>
        <w:rPr>
          <w:spacing w:val="-7"/>
        </w:rPr>
        <w:t>一般包括三个要素：标准分类、标准信息项</w:t>
      </w:r>
    </w:p>
    <w:p>
      <w:pPr>
        <w:pStyle w:val="BodyText"/>
        <w:spacing w:line="358" w:lineRule="exact"/>
        <w:ind w:right="1311"/>
        <w:jc w:val="right"/>
      </w:pPr>
      <w:r>
        <w:rPr/>
        <w:t>（标准内容）和相关公共代码（如国别代码、邮政编码</w:t>
      </w:r>
      <w:r>
        <w:rPr>
          <w:spacing w:val="-141"/>
        </w:rPr>
        <w:t>）</w:t>
      </w:r>
      <w:r>
        <w:rPr>
          <w:spacing w:val="-2"/>
        </w:rPr>
        <w:t>。数据标准</w:t>
      </w:r>
    </w:p>
    <w:p>
      <w:pPr>
        <w:pStyle w:val="BodyText"/>
        <w:spacing w:before="1"/>
        <w:rPr>
          <w:sz w:val="13"/>
        </w:rPr>
      </w:pPr>
    </w:p>
    <w:p>
      <w:pPr>
        <w:spacing w:before="92"/>
        <w:ind w:left="1329" w:right="1325" w:firstLine="0"/>
        <w:jc w:val="center"/>
        <w:rPr>
          <w:rFonts w:ascii="Times New Roman"/>
          <w:sz w:val="18"/>
        </w:rPr>
      </w:pPr>
      <w:r>
        <w:rPr>
          <w:rFonts w:ascii="Times New Roman"/>
          <w:spacing w:val="-5"/>
          <w:sz w:val="18"/>
        </w:rPr>
        <w:t>12</w:t>
      </w:r>
    </w:p>
    <w:p>
      <w:pPr>
        <w:spacing w:after="0"/>
        <w:jc w:val="center"/>
        <w:rPr>
          <w:rFonts w:ascii="Times New Roman"/>
          <w:sz w:val="18"/>
        </w:rPr>
        <w:sectPr>
          <w:headerReference w:type="default" r:id="rId22"/>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通常可分为基础类数据标准和指标类数据标准。</w:t>
      </w:r>
    </w:p>
    <w:p>
      <w:pPr>
        <w:pStyle w:val="BodyText"/>
        <w:spacing w:before="8"/>
        <w:rPr>
          <w:sz w:val="20"/>
        </w:rPr>
      </w:pPr>
    </w:p>
    <w:p>
      <w:pPr>
        <w:pStyle w:val="BodyText"/>
        <w:spacing w:line="417" w:lineRule="auto" w:before="1"/>
        <w:ind w:left="1320" w:right="1176" w:firstLine="559"/>
      </w:pPr>
      <w:r>
        <w:rPr>
          <w:rFonts w:ascii="黑体" w:eastAsia="黑体"/>
          <w:spacing w:val="-2"/>
        </w:rPr>
        <w:t>基础类数据标准</w:t>
      </w:r>
      <w:r>
        <w:rPr>
          <w:spacing w:val="-2"/>
        </w:rPr>
        <w:t>一般包括数据维度标准、主数据标准、逻辑数据</w:t>
      </w:r>
      <w:r>
        <w:rPr>
          <w:spacing w:val="-2"/>
        </w:rPr>
        <w:t>模型标准、物理数据模型标准、元数据标准、公共代码标准等。</w:t>
      </w:r>
      <w:r>
        <w:rPr>
          <w:rFonts w:ascii="黑体" w:eastAsia="黑体"/>
          <w:spacing w:val="-2"/>
        </w:rPr>
        <w:t>指标</w:t>
      </w:r>
      <w:r>
        <w:rPr>
          <w:rFonts w:ascii="黑体" w:eastAsia="黑体"/>
          <w:spacing w:val="-2"/>
        </w:rPr>
        <w:t>类数据标准</w:t>
      </w:r>
      <w:r>
        <w:rPr>
          <w:spacing w:val="-10"/>
        </w:rPr>
        <w:t>一般分为基础指标标准和计算指标</w:t>
      </w:r>
      <w:r>
        <w:rPr>
          <w:spacing w:val="-2"/>
        </w:rPr>
        <w:t>（又称组合指标</w:t>
      </w:r>
      <w:r>
        <w:rPr>
          <w:spacing w:val="-117"/>
        </w:rPr>
        <w:t>）</w:t>
      </w:r>
      <w:r>
        <w:rPr>
          <w:spacing w:val="-2"/>
        </w:rPr>
        <w:t>标准。</w:t>
      </w:r>
      <w:r>
        <w:rPr>
          <w:spacing w:val="-6"/>
        </w:rPr>
        <w:t>基础指标一般不含维度信息，且具有特定业务和经济含义，计算指标</w:t>
      </w:r>
      <w:r>
        <w:rPr>
          <w:spacing w:val="-2"/>
        </w:rPr>
        <w:t>通常由两个以上基础指标计算得出。</w:t>
      </w:r>
    </w:p>
    <w:p>
      <w:pPr>
        <w:pStyle w:val="BodyText"/>
        <w:spacing w:line="417" w:lineRule="auto"/>
        <w:ind w:left="1320" w:right="1316" w:firstLine="559"/>
      </w:pPr>
      <w:r>
        <w:rPr>
          <w:rFonts w:ascii="黑体" w:eastAsia="黑体"/>
          <w:spacing w:val="-2"/>
        </w:rPr>
        <w:t>数据标准管理</w:t>
      </w:r>
      <w:r>
        <w:rPr>
          <w:spacing w:val="-7"/>
        </w:rPr>
        <w:t>是指数据标准的制定和实施的一系列活动，关键活</w:t>
      </w:r>
      <w:r>
        <w:rPr>
          <w:spacing w:val="-4"/>
        </w:rPr>
        <w:t>动包括：</w:t>
      </w:r>
    </w:p>
    <w:p>
      <w:pPr>
        <w:pStyle w:val="ListParagraph"/>
        <w:numPr>
          <w:ilvl w:val="0"/>
          <w:numId w:val="10"/>
        </w:numPr>
        <w:tabs>
          <w:tab w:pos="3000" w:val="left" w:leader="none"/>
          <w:tab w:pos="3001" w:val="left" w:leader="none"/>
        </w:tabs>
        <w:spacing w:line="358" w:lineRule="exact" w:before="0" w:after="0"/>
        <w:ind w:left="3000" w:right="0" w:hanging="500"/>
        <w:jc w:val="left"/>
        <w:rPr>
          <w:sz w:val="28"/>
        </w:rPr>
      </w:pPr>
      <w:r>
        <w:rPr>
          <w:spacing w:val="-3"/>
          <w:sz w:val="28"/>
        </w:rPr>
        <w:t>理解数据标准化需求；</w:t>
      </w:r>
    </w:p>
    <w:p>
      <w:pPr>
        <w:pStyle w:val="ListParagraph"/>
        <w:numPr>
          <w:ilvl w:val="0"/>
          <w:numId w:val="10"/>
        </w:numPr>
        <w:tabs>
          <w:tab w:pos="3000" w:val="left" w:leader="none"/>
          <w:tab w:pos="3001" w:val="left" w:leader="none"/>
        </w:tabs>
        <w:spacing w:line="240" w:lineRule="auto" w:before="264" w:after="0"/>
        <w:ind w:left="3000" w:right="0" w:hanging="500"/>
        <w:jc w:val="left"/>
        <w:rPr>
          <w:sz w:val="28"/>
        </w:rPr>
      </w:pPr>
      <w:r>
        <w:rPr>
          <w:spacing w:val="-3"/>
          <w:sz w:val="28"/>
        </w:rPr>
        <w:t>构建数据标准体系和规范；</w:t>
      </w:r>
    </w:p>
    <w:p>
      <w:pPr>
        <w:pStyle w:val="ListParagraph"/>
        <w:numPr>
          <w:ilvl w:val="0"/>
          <w:numId w:val="10"/>
        </w:numPr>
        <w:tabs>
          <w:tab w:pos="3000" w:val="left" w:leader="none"/>
          <w:tab w:pos="3001" w:val="left" w:leader="none"/>
        </w:tabs>
        <w:spacing w:line="240" w:lineRule="auto" w:before="265" w:after="0"/>
        <w:ind w:left="3000" w:right="0" w:hanging="500"/>
        <w:jc w:val="left"/>
        <w:rPr>
          <w:sz w:val="28"/>
        </w:rPr>
      </w:pPr>
      <w:r>
        <w:rPr>
          <w:spacing w:val="-3"/>
          <w:sz w:val="28"/>
        </w:rPr>
        <w:t>规划制定数据标准化的实施路线和方案；</w:t>
      </w:r>
    </w:p>
    <w:p>
      <w:pPr>
        <w:pStyle w:val="ListParagraph"/>
        <w:numPr>
          <w:ilvl w:val="0"/>
          <w:numId w:val="10"/>
        </w:numPr>
        <w:tabs>
          <w:tab w:pos="3000" w:val="left" w:leader="none"/>
          <w:tab w:pos="3001" w:val="left" w:leader="none"/>
        </w:tabs>
        <w:spacing w:line="240" w:lineRule="auto" w:before="266" w:after="0"/>
        <w:ind w:left="3000" w:right="0" w:hanging="500"/>
        <w:jc w:val="left"/>
        <w:rPr>
          <w:sz w:val="28"/>
        </w:rPr>
      </w:pPr>
      <w:r>
        <w:rPr>
          <w:spacing w:val="-3"/>
          <w:sz w:val="28"/>
        </w:rPr>
        <w:t>制定数据标准管理办法和实施流程要求；</w:t>
      </w:r>
    </w:p>
    <w:p>
      <w:pPr>
        <w:pStyle w:val="ListParagraph"/>
        <w:numPr>
          <w:ilvl w:val="0"/>
          <w:numId w:val="10"/>
        </w:numPr>
        <w:tabs>
          <w:tab w:pos="3000" w:val="left" w:leader="none"/>
          <w:tab w:pos="3001" w:val="left" w:leader="none"/>
        </w:tabs>
        <w:spacing w:line="240" w:lineRule="auto" w:before="265" w:after="0"/>
        <w:ind w:left="3000" w:right="0" w:hanging="500"/>
        <w:jc w:val="left"/>
        <w:rPr>
          <w:sz w:val="28"/>
        </w:rPr>
      </w:pPr>
      <w:r>
        <w:rPr>
          <w:spacing w:val="-3"/>
          <w:sz w:val="28"/>
        </w:rPr>
        <w:t>建设数据标准管理工具，推动数据标准的执行落地。</w:t>
      </w:r>
    </w:p>
    <w:p>
      <w:pPr>
        <w:pStyle w:val="ListParagraph"/>
        <w:numPr>
          <w:ilvl w:val="0"/>
          <w:numId w:val="10"/>
        </w:numPr>
        <w:tabs>
          <w:tab w:pos="3001" w:val="left" w:leader="none"/>
        </w:tabs>
        <w:spacing w:line="240" w:lineRule="auto" w:before="266" w:after="0"/>
        <w:ind w:left="3000" w:right="0" w:hanging="500"/>
        <w:jc w:val="both"/>
        <w:rPr>
          <w:sz w:val="28"/>
        </w:rPr>
      </w:pPr>
      <w:r>
        <w:rPr>
          <w:spacing w:val="-3"/>
          <w:sz w:val="28"/>
        </w:rPr>
        <w:t>评估数据标准化工作的开展情况</w:t>
      </w:r>
    </w:p>
    <w:p>
      <w:pPr>
        <w:pStyle w:val="BodyText"/>
        <w:spacing w:line="417" w:lineRule="auto" w:before="265"/>
        <w:ind w:left="1320" w:right="1312" w:firstLine="559"/>
        <w:jc w:val="both"/>
      </w:pPr>
      <w:r>
        <w:rPr>
          <w:spacing w:val="-6"/>
        </w:rPr>
        <w:t>数据标准管理的目标是通过统一的数据标准制定和发布，结合制</w:t>
      </w:r>
      <w:r>
        <w:rPr>
          <w:spacing w:val="-4"/>
        </w:rPr>
        <w:t>度约束、系统控制等手段，实现企业大数据平台数据的完整性、有效</w:t>
      </w:r>
      <w:r>
        <w:rPr>
          <w:spacing w:val="-4"/>
        </w:rPr>
        <w:t>性、一致性、规范性、开放性和共享性管理，为数据资产管理活动提</w:t>
      </w:r>
      <w:r>
        <w:rPr>
          <w:spacing w:val="-2"/>
        </w:rPr>
        <w:t>供参考依据。</w:t>
      </w:r>
    </w:p>
    <w:p>
      <w:pPr>
        <w:pStyle w:val="Heading3"/>
        <w:numPr>
          <w:ilvl w:val="0"/>
          <w:numId w:val="9"/>
        </w:numPr>
        <w:tabs>
          <w:tab w:pos="2580" w:val="left" w:leader="none"/>
          <w:tab w:pos="2581" w:val="left" w:leader="none"/>
        </w:tabs>
        <w:spacing w:line="240" w:lineRule="auto" w:before="212" w:after="0"/>
        <w:ind w:left="2580" w:right="0" w:hanging="620"/>
        <w:jc w:val="left"/>
      </w:pPr>
      <w:bookmarkStart w:name="_bookmark22" w:id="23"/>
      <w:bookmarkEnd w:id="23"/>
      <w:r>
        <w:rPr>
          <w:w w:val="95"/>
        </w:rPr>
        <w:t>数</w:t>
      </w:r>
      <w:r>
        <w:rPr>
          <w:w w:val="95"/>
        </w:rPr>
        <w:t>据</w:t>
      </w:r>
      <w:r>
        <w:rPr>
          <w:w w:val="95"/>
        </w:rPr>
        <w:t>模</w:t>
      </w:r>
      <w:r>
        <w:rPr>
          <w:w w:val="95"/>
        </w:rPr>
        <w:t>型</w:t>
      </w:r>
      <w:r>
        <w:rPr>
          <w:w w:val="95"/>
        </w:rPr>
        <w:t>管</w:t>
      </w:r>
      <w:r>
        <w:rPr>
          <w:spacing w:val="-10"/>
          <w:w w:val="95"/>
        </w:rPr>
        <w:t>理</w:t>
      </w:r>
    </w:p>
    <w:p>
      <w:pPr>
        <w:pStyle w:val="BodyText"/>
        <w:spacing w:line="417" w:lineRule="auto" w:before="302"/>
        <w:ind w:left="1320" w:right="1317" w:firstLine="559"/>
        <w:jc w:val="both"/>
      </w:pPr>
      <w:r>
        <w:rPr>
          <w:rFonts w:ascii="黑体" w:eastAsia="黑体"/>
          <w:spacing w:val="-2"/>
        </w:rPr>
        <w:t>数据模型</w:t>
      </w:r>
      <w:r>
        <w:rPr>
          <w:spacing w:val="-10"/>
        </w:rPr>
        <w:t>是现实世界数据特征的抽象，用于描述一组数据的概念</w:t>
      </w:r>
      <w:r>
        <w:rPr>
          <w:spacing w:val="-4"/>
        </w:rPr>
        <w:t>和定义。数据模型从抽象层次上描述了数据的静态特征、动态行为和</w:t>
      </w:r>
      <w:r>
        <w:rPr>
          <w:spacing w:val="-24"/>
        </w:rPr>
        <w:t>约束条件。数据模型所描述的内容有三部分：数据结构、数据操作</w:t>
      </w:r>
      <w:r>
        <w:rPr>
          <w:spacing w:val="-2"/>
        </w:rPr>
        <w:t>（</w:t>
      </w:r>
      <w:r>
        <w:rPr>
          <w:spacing w:val="-10"/>
        </w:rPr>
        <w:t>其</w:t>
      </w:r>
    </w:p>
    <w:p>
      <w:pPr>
        <w:spacing w:before="32"/>
        <w:ind w:left="1329" w:right="1325" w:firstLine="0"/>
        <w:jc w:val="center"/>
        <w:rPr>
          <w:rFonts w:ascii="Times New Roman"/>
          <w:sz w:val="18"/>
        </w:rPr>
      </w:pPr>
      <w:r>
        <w:rPr>
          <w:rFonts w:ascii="Times New Roman"/>
          <w:spacing w:val="-5"/>
          <w:sz w:val="18"/>
        </w:rPr>
        <w:t>13</w:t>
      </w:r>
    </w:p>
    <w:p>
      <w:pPr>
        <w:spacing w:after="0"/>
        <w:jc w:val="center"/>
        <w:rPr>
          <w:rFonts w:ascii="Times New Roman"/>
          <w:sz w:val="18"/>
        </w:rPr>
        <w:sectPr>
          <w:headerReference w:type="default" r:id="rId24"/>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4"/>
        <w:jc w:val="both"/>
      </w:pPr>
      <w:r>
        <w:rPr>
          <w:spacing w:val="-18"/>
        </w:rPr>
        <w:t>中 </w:t>
      </w:r>
      <w:r>
        <w:rPr>
          <w:rFonts w:ascii="Times New Roman" w:eastAsia="Times New Roman"/>
          <w:spacing w:val="-2"/>
        </w:rPr>
        <w:t>ER</w:t>
      </w:r>
      <w:r>
        <w:rPr>
          <w:rFonts w:ascii="Times New Roman" w:eastAsia="Times New Roman"/>
          <w:spacing w:val="-16"/>
        </w:rPr>
        <w:t> </w:t>
      </w:r>
      <w:r>
        <w:rPr>
          <w:spacing w:val="-2"/>
        </w:rPr>
        <w:t>图数据模型中无数据操作）和数据约束，形成数据结构的基本</w:t>
      </w:r>
      <w:r>
        <w:rPr>
          <w:spacing w:val="-4"/>
        </w:rPr>
        <w:t>蓝图，也是企业数据资产的战略地图。数据模型按不同的应用层次分</w:t>
      </w:r>
      <w:r>
        <w:rPr>
          <w:spacing w:val="-2"/>
        </w:rPr>
        <w:t>成概念数据模型、逻辑数据模型、物理数据模型三种类型。</w:t>
      </w:r>
    </w:p>
    <w:p>
      <w:pPr>
        <w:pStyle w:val="ListParagraph"/>
        <w:numPr>
          <w:ilvl w:val="1"/>
          <w:numId w:val="9"/>
        </w:numPr>
        <w:tabs>
          <w:tab w:pos="3001" w:val="left" w:leader="none"/>
        </w:tabs>
        <w:spacing w:line="417" w:lineRule="auto" w:before="0" w:after="0"/>
        <w:ind w:left="2299" w:right="1313" w:firstLine="201"/>
        <w:jc w:val="both"/>
        <w:rPr>
          <w:sz w:val="28"/>
        </w:rPr>
      </w:pPr>
      <w:r>
        <w:rPr>
          <w:rFonts w:ascii="黑体" w:hAnsi="黑体" w:eastAsia="黑体"/>
          <w:spacing w:val="-4"/>
          <w:sz w:val="28"/>
        </w:rPr>
        <w:t>概念模型</w:t>
      </w:r>
      <w:r>
        <w:rPr>
          <w:b/>
          <w:spacing w:val="-4"/>
          <w:sz w:val="28"/>
        </w:rPr>
        <w:t>：</w:t>
      </w:r>
      <w:r>
        <w:rPr>
          <w:spacing w:val="-4"/>
          <w:sz w:val="28"/>
        </w:rPr>
        <w:t>是一种面向用户、面向客观世界的模型，主</w:t>
      </w:r>
      <w:r>
        <w:rPr>
          <w:spacing w:val="-2"/>
          <w:sz w:val="28"/>
        </w:rPr>
        <w:t>要用来描述现实世界的概念化结构，与具体的数据库管理系</w:t>
      </w:r>
      <w:r>
        <w:rPr>
          <w:sz w:val="28"/>
        </w:rPr>
        <w:t>统（</w:t>
      </w:r>
      <w:r>
        <w:rPr>
          <w:rFonts w:ascii="Times New Roman" w:hAnsi="Times New Roman" w:eastAsia="Times New Roman"/>
          <w:sz w:val="28"/>
        </w:rPr>
        <w:t>DBMS</w:t>
      </w:r>
      <w:r>
        <w:rPr>
          <w:sz w:val="28"/>
        </w:rPr>
        <w:t>，</w:t>
      </w:r>
      <w:r>
        <w:rPr>
          <w:rFonts w:ascii="Times New Roman" w:hAnsi="Times New Roman" w:eastAsia="Times New Roman"/>
          <w:sz w:val="28"/>
        </w:rPr>
        <w:t>Database Management System</w:t>
      </w:r>
      <w:r>
        <w:rPr>
          <w:sz w:val="28"/>
        </w:rPr>
        <w:t>）无关；</w:t>
      </w:r>
    </w:p>
    <w:p>
      <w:pPr>
        <w:pStyle w:val="ListParagraph"/>
        <w:numPr>
          <w:ilvl w:val="1"/>
          <w:numId w:val="9"/>
        </w:numPr>
        <w:tabs>
          <w:tab w:pos="3001" w:val="left" w:leader="none"/>
        </w:tabs>
        <w:spacing w:line="417" w:lineRule="auto" w:before="0" w:after="0"/>
        <w:ind w:left="2299" w:right="1312" w:firstLine="201"/>
        <w:jc w:val="both"/>
        <w:rPr>
          <w:sz w:val="28"/>
        </w:rPr>
      </w:pPr>
      <w:r>
        <w:rPr>
          <w:rFonts w:ascii="黑体" w:hAnsi="黑体" w:eastAsia="黑体"/>
          <w:spacing w:val="-4"/>
          <w:sz w:val="28"/>
        </w:rPr>
        <w:t>逻辑模型</w:t>
      </w:r>
      <w:r>
        <w:rPr>
          <w:b/>
          <w:spacing w:val="-4"/>
          <w:sz w:val="28"/>
        </w:rPr>
        <w:t>：</w:t>
      </w:r>
      <w:r>
        <w:rPr>
          <w:spacing w:val="-4"/>
          <w:sz w:val="28"/>
        </w:rPr>
        <w:t>是一种以概念模型的框架为基础，根据业务</w:t>
      </w:r>
      <w:r>
        <w:rPr>
          <w:spacing w:val="-2"/>
          <w:sz w:val="28"/>
        </w:rPr>
        <w:t>条线、业务事项、业务流程、业务场景的需要，设计的面向</w:t>
      </w:r>
      <w:r>
        <w:rPr>
          <w:spacing w:val="-3"/>
          <w:sz w:val="28"/>
        </w:rPr>
        <w:t>业务实现的数据模型。逻辑模型可用于指导在不同的 </w:t>
      </w:r>
      <w:r>
        <w:rPr>
          <w:rFonts w:ascii="Times New Roman" w:hAnsi="Times New Roman" w:eastAsia="Times New Roman"/>
          <w:spacing w:val="-2"/>
          <w:sz w:val="28"/>
        </w:rPr>
        <w:t>DBMS</w:t>
      </w:r>
      <w:r>
        <w:rPr>
          <w:spacing w:val="-2"/>
          <w:sz w:val="28"/>
        </w:rPr>
        <w:t>系统中实现。逻辑数据模型包括网状数据模型、层次数据模</w:t>
      </w:r>
      <w:r>
        <w:rPr>
          <w:spacing w:val="-4"/>
          <w:sz w:val="28"/>
        </w:rPr>
        <w:t>型等；</w:t>
      </w:r>
    </w:p>
    <w:p>
      <w:pPr>
        <w:pStyle w:val="ListParagraph"/>
        <w:numPr>
          <w:ilvl w:val="1"/>
          <w:numId w:val="9"/>
        </w:numPr>
        <w:tabs>
          <w:tab w:pos="3001" w:val="left" w:leader="none"/>
        </w:tabs>
        <w:spacing w:line="417" w:lineRule="auto" w:before="0" w:after="0"/>
        <w:ind w:left="2299" w:right="1311" w:firstLine="201"/>
        <w:jc w:val="both"/>
        <w:rPr>
          <w:sz w:val="28"/>
        </w:rPr>
      </w:pPr>
      <w:r>
        <w:rPr>
          <w:rFonts w:ascii="黑体" w:hAnsi="黑体" w:eastAsia="黑体"/>
          <w:spacing w:val="-2"/>
          <w:sz w:val="28"/>
        </w:rPr>
        <w:t>物理模型</w:t>
      </w:r>
      <w:r>
        <w:rPr>
          <w:b/>
          <w:spacing w:val="-2"/>
          <w:sz w:val="28"/>
        </w:rPr>
        <w:t>：</w:t>
      </w:r>
      <w:r>
        <w:rPr>
          <w:spacing w:val="-6"/>
          <w:sz w:val="28"/>
        </w:rPr>
        <w:t>是一种面向计算机物理表示的模型，描述了</w:t>
      </w:r>
      <w:r>
        <w:rPr>
          <w:spacing w:val="-2"/>
          <w:sz w:val="28"/>
        </w:rPr>
        <w:t>数据在储存介质上的组织结构。物理模型的设计应基于逻辑</w:t>
      </w:r>
      <w:r>
        <w:rPr>
          <w:spacing w:val="-3"/>
          <w:sz w:val="28"/>
        </w:rPr>
        <w:t>模型的成果，以保证实现业务需求。它不但与具体的 </w:t>
      </w:r>
      <w:r>
        <w:rPr>
          <w:rFonts w:ascii="Times New Roman" w:hAnsi="Times New Roman" w:eastAsia="Times New Roman"/>
          <w:spacing w:val="-2"/>
          <w:sz w:val="28"/>
        </w:rPr>
        <w:t>DBMS</w:t>
      </w:r>
      <w:r>
        <w:rPr>
          <w:spacing w:val="-2"/>
          <w:sz w:val="28"/>
        </w:rPr>
        <w:t>有关，而且还与操作系统和硬件有关，同时考虑系统性能的</w:t>
      </w:r>
      <w:r>
        <w:rPr>
          <w:spacing w:val="-2"/>
          <w:sz w:val="28"/>
        </w:rPr>
        <w:t>相关要求。</w:t>
      </w:r>
    </w:p>
    <w:p>
      <w:pPr>
        <w:pStyle w:val="BodyText"/>
        <w:spacing w:line="417" w:lineRule="auto"/>
        <w:ind w:left="1320" w:right="1176" w:firstLine="559"/>
      </w:pPr>
      <w:r>
        <w:rPr>
          <w:rFonts w:ascii="黑体" w:eastAsia="黑体"/>
          <w:spacing w:val="-2"/>
        </w:rPr>
        <w:t>数据模型管理</w:t>
      </w:r>
      <w:r>
        <w:rPr>
          <w:spacing w:val="-2"/>
        </w:rPr>
        <w:t>是指在信息系统设计时，参考业务模型，使用标准</w:t>
      </w:r>
      <w:r>
        <w:rPr>
          <w:spacing w:val="-5"/>
        </w:rPr>
        <w:t>化用语、单词等数据要素来设计企业数据模型，并在信息系统建设和</w:t>
      </w:r>
      <w:r>
        <w:rPr>
          <w:spacing w:val="-11"/>
        </w:rPr>
        <w:t>运行维护过程中，严格按照数据模型管理制度，审核和管理新建数据</w:t>
      </w:r>
      <w:r>
        <w:rPr>
          <w:spacing w:val="-20"/>
        </w:rPr>
        <w:t>模型，数据模型的标准化管理和统一管控，有利于指导企业数据整合，</w:t>
      </w:r>
      <w:r>
        <w:rPr>
          <w:spacing w:val="-2"/>
        </w:rPr>
        <w:t>提高信息系统数据质量。数据模型管理包括对数据模型的设计、数据</w:t>
      </w:r>
      <w:r>
        <w:rPr>
          <w:spacing w:val="-17"/>
        </w:rPr>
        <w:t>模型和数据标准词典的同步、数据模型审核发布、数据模型差异对比、</w:t>
      </w:r>
    </w:p>
    <w:p>
      <w:pPr>
        <w:spacing w:before="110"/>
        <w:ind w:left="1329" w:right="1325" w:firstLine="0"/>
        <w:jc w:val="center"/>
        <w:rPr>
          <w:rFonts w:ascii="Times New Roman"/>
          <w:sz w:val="18"/>
        </w:rPr>
      </w:pPr>
      <w:r>
        <w:rPr>
          <w:rFonts w:ascii="Times New Roman"/>
          <w:spacing w:val="-5"/>
          <w:sz w:val="18"/>
        </w:rPr>
        <w:t>14</w:t>
      </w:r>
    </w:p>
    <w:p>
      <w:pPr>
        <w:spacing w:after="0"/>
        <w:jc w:val="center"/>
        <w:rPr>
          <w:rFonts w:ascii="Times New Roman"/>
          <w:sz w:val="18"/>
        </w:rPr>
        <w:sectPr>
          <w:headerReference w:type="default" r:id="rId25"/>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版本管理等。数据模型管理的关键活动包括：</w:t>
      </w:r>
    </w:p>
    <w:p>
      <w:pPr>
        <w:pStyle w:val="BodyText"/>
        <w:spacing w:before="8"/>
        <w:rPr>
          <w:sz w:val="20"/>
        </w:rPr>
      </w:pPr>
    </w:p>
    <w:p>
      <w:pPr>
        <w:pStyle w:val="ListParagraph"/>
        <w:numPr>
          <w:ilvl w:val="1"/>
          <w:numId w:val="9"/>
        </w:numPr>
        <w:tabs>
          <w:tab w:pos="3000" w:val="left" w:leader="none"/>
          <w:tab w:pos="3001" w:val="left" w:leader="none"/>
        </w:tabs>
        <w:spacing w:line="240" w:lineRule="auto" w:before="1" w:after="0"/>
        <w:ind w:left="3000" w:right="0" w:hanging="500"/>
        <w:jc w:val="left"/>
        <w:rPr>
          <w:sz w:val="28"/>
        </w:rPr>
      </w:pPr>
      <w:r>
        <w:rPr>
          <w:spacing w:val="-3"/>
          <w:sz w:val="28"/>
        </w:rPr>
        <w:t>定义和分析企业数据需求；</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定义标准化的业务用语、单词、域、编码等；</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设计标准化数据模型；</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制定数据模型管理办法和实施流程要求；</w:t>
      </w:r>
    </w:p>
    <w:p>
      <w:pPr>
        <w:pStyle w:val="ListParagraph"/>
        <w:numPr>
          <w:ilvl w:val="1"/>
          <w:numId w:val="9"/>
        </w:numPr>
        <w:tabs>
          <w:tab w:pos="3001" w:val="left" w:leader="none"/>
        </w:tabs>
        <w:spacing w:line="240" w:lineRule="auto" w:before="266" w:after="0"/>
        <w:ind w:left="3000" w:right="0" w:hanging="500"/>
        <w:jc w:val="both"/>
        <w:rPr>
          <w:sz w:val="28"/>
        </w:rPr>
      </w:pPr>
      <w:r>
        <w:rPr>
          <w:spacing w:val="-3"/>
          <w:sz w:val="28"/>
        </w:rPr>
        <w:t>建设数据模型管理工具，统一管控企业数据模型。</w:t>
      </w:r>
    </w:p>
    <w:p>
      <w:pPr>
        <w:pStyle w:val="BodyText"/>
        <w:spacing w:line="417" w:lineRule="auto" w:before="265"/>
        <w:ind w:left="1320" w:right="1316" w:firstLine="559"/>
        <w:jc w:val="both"/>
      </w:pPr>
      <w:r>
        <w:rPr>
          <w:spacing w:val="-4"/>
        </w:rPr>
        <w:t>数据模型是数据资产管理的基础，一个完整、可扩展、稳定的数</w:t>
      </w:r>
      <w:r>
        <w:rPr>
          <w:spacing w:val="-7"/>
        </w:rPr>
        <w:t>据模型对于数据资产管理的成功起着重要的作用。通过数据模型管理</w:t>
      </w:r>
      <w:r>
        <w:rPr>
          <w:spacing w:val="-6"/>
        </w:rPr>
        <w:t>可以清楚地表达企业内部各种业务主体之间的数据相关性，使不同部</w:t>
      </w:r>
      <w:r>
        <w:rPr>
          <w:spacing w:val="-12"/>
        </w:rPr>
        <w:t>门的业务人员、应用开发人员和系统管理人员获得关于企业内部业务</w:t>
      </w:r>
      <w:r>
        <w:rPr>
          <w:spacing w:val="-2"/>
        </w:rPr>
        <w:t>数据的统一完整视图。</w:t>
      </w:r>
    </w:p>
    <w:p>
      <w:pPr>
        <w:pStyle w:val="Heading3"/>
        <w:numPr>
          <w:ilvl w:val="0"/>
          <w:numId w:val="9"/>
        </w:numPr>
        <w:tabs>
          <w:tab w:pos="2580" w:val="left" w:leader="none"/>
          <w:tab w:pos="2581" w:val="left" w:leader="none"/>
        </w:tabs>
        <w:spacing w:line="240" w:lineRule="auto" w:before="212" w:after="0"/>
        <w:ind w:left="2580" w:right="0" w:hanging="620"/>
        <w:jc w:val="left"/>
      </w:pPr>
      <w:bookmarkStart w:name="_bookmark23" w:id="24"/>
      <w:bookmarkEnd w:id="24"/>
      <w:r>
        <w:rPr>
          <w:w w:val="95"/>
        </w:rPr>
        <w:t>元</w:t>
      </w:r>
      <w:r>
        <w:rPr>
          <w:w w:val="95"/>
        </w:rPr>
        <w:t>数</w:t>
      </w:r>
      <w:r>
        <w:rPr>
          <w:w w:val="95"/>
        </w:rPr>
        <w:t>据</w:t>
      </w:r>
      <w:r>
        <w:rPr>
          <w:spacing w:val="-5"/>
          <w:w w:val="95"/>
        </w:rPr>
        <w:t>管理</w:t>
      </w:r>
    </w:p>
    <w:p>
      <w:pPr>
        <w:pStyle w:val="BodyText"/>
        <w:spacing w:line="417" w:lineRule="auto" w:before="302"/>
        <w:ind w:left="1320" w:right="1314" w:firstLine="559"/>
      </w:pPr>
      <w:r>
        <w:rPr>
          <w:rFonts w:ascii="黑体" w:eastAsia="黑体"/>
          <w:spacing w:val="-4"/>
        </w:rPr>
        <w:t>元数据</w:t>
      </w:r>
      <w:r>
        <w:rPr>
          <w:b/>
          <w:spacing w:val="-4"/>
        </w:rPr>
        <w:t>（</w:t>
      </w:r>
      <w:r>
        <w:rPr>
          <w:rFonts w:ascii="Times New Roman" w:eastAsia="Times New Roman"/>
          <w:b/>
          <w:spacing w:val="-4"/>
        </w:rPr>
        <w:t>Metadata</w:t>
      </w:r>
      <w:r>
        <w:rPr>
          <w:b/>
          <w:spacing w:val="-4"/>
        </w:rPr>
        <w:t>）</w:t>
      </w:r>
      <w:r>
        <w:rPr>
          <w:spacing w:val="-4"/>
        </w:rPr>
        <w:t>是描述数据的数据。元数据按用途不同分为</w:t>
      </w:r>
      <w:r>
        <w:rPr>
          <w:spacing w:val="-2"/>
        </w:rPr>
        <w:t>技术元数据、业务元数据和管理元数据。</w:t>
      </w:r>
    </w:p>
    <w:p>
      <w:pPr>
        <w:pStyle w:val="ListParagraph"/>
        <w:numPr>
          <w:ilvl w:val="1"/>
          <w:numId w:val="9"/>
        </w:numPr>
        <w:tabs>
          <w:tab w:pos="3001" w:val="left" w:leader="none"/>
        </w:tabs>
        <w:spacing w:line="417" w:lineRule="auto" w:before="0" w:after="0"/>
        <w:ind w:left="2299" w:right="1314" w:firstLine="201"/>
        <w:jc w:val="both"/>
        <w:rPr>
          <w:sz w:val="28"/>
        </w:rPr>
      </w:pPr>
      <w:r>
        <w:rPr>
          <w:rFonts w:ascii="黑体" w:hAnsi="黑体" w:eastAsia="黑体"/>
          <w:spacing w:val="-8"/>
          <w:sz w:val="28"/>
        </w:rPr>
        <w:t>技术元数据</w:t>
      </w:r>
      <w:r>
        <w:rPr>
          <w:b/>
          <w:spacing w:val="-8"/>
          <w:sz w:val="28"/>
        </w:rPr>
        <w:t>（</w:t>
      </w:r>
      <w:r>
        <w:rPr>
          <w:rFonts w:ascii="Times New Roman" w:hAnsi="Times New Roman" w:eastAsia="Times New Roman"/>
          <w:b/>
          <w:spacing w:val="-8"/>
          <w:sz w:val="28"/>
        </w:rPr>
        <w:t>Technical </w:t>
      </w:r>
      <w:r>
        <w:rPr>
          <w:rFonts w:ascii="Times New Roman" w:hAnsi="Times New Roman" w:eastAsia="Times New Roman"/>
          <w:b/>
          <w:spacing w:val="8"/>
          <w:sz w:val="28"/>
        </w:rPr>
        <w:t>M</w:t>
      </w:r>
      <w:r>
        <w:rPr>
          <w:rFonts w:ascii="Times New Roman" w:hAnsi="Times New Roman" w:eastAsia="Times New Roman"/>
          <w:b/>
          <w:spacing w:val="7"/>
          <w:sz w:val="28"/>
        </w:rPr>
        <w:t>e</w:t>
      </w:r>
      <w:r>
        <w:rPr>
          <w:rFonts w:ascii="Times New Roman" w:hAnsi="Times New Roman" w:eastAsia="Times New Roman"/>
          <w:b/>
          <w:spacing w:val="10"/>
          <w:sz w:val="28"/>
        </w:rPr>
        <w:t>t</w:t>
      </w:r>
      <w:r>
        <w:rPr>
          <w:rFonts w:ascii="Times New Roman" w:hAnsi="Times New Roman" w:eastAsia="Times New Roman"/>
          <w:b/>
          <w:spacing w:val="11"/>
          <w:sz w:val="28"/>
        </w:rPr>
        <w:t>a</w:t>
      </w:r>
      <w:r>
        <w:rPr>
          <w:rFonts w:ascii="Times New Roman" w:hAnsi="Times New Roman" w:eastAsia="Times New Roman"/>
          <w:b/>
          <w:spacing w:val="7"/>
          <w:sz w:val="28"/>
        </w:rPr>
        <w:t>d</w:t>
      </w:r>
      <w:r>
        <w:rPr>
          <w:rFonts w:ascii="Times New Roman" w:hAnsi="Times New Roman" w:eastAsia="Times New Roman"/>
          <w:b/>
          <w:spacing w:val="10"/>
          <w:sz w:val="28"/>
        </w:rPr>
        <w:t>a</w:t>
      </w:r>
      <w:r>
        <w:rPr>
          <w:rFonts w:ascii="Times New Roman" w:hAnsi="Times New Roman" w:eastAsia="Times New Roman"/>
          <w:b/>
          <w:spacing w:val="7"/>
          <w:sz w:val="28"/>
        </w:rPr>
        <w:t>t</w:t>
      </w:r>
      <w:r>
        <w:rPr>
          <w:rFonts w:ascii="Times New Roman" w:hAnsi="Times New Roman" w:eastAsia="Times New Roman"/>
          <w:b/>
          <w:spacing w:val="10"/>
          <w:sz w:val="28"/>
        </w:rPr>
        <w:t>a</w:t>
      </w:r>
      <w:r>
        <w:rPr>
          <w:b/>
          <w:spacing w:val="-130"/>
          <w:w w:val="99"/>
          <w:sz w:val="28"/>
        </w:rPr>
        <w:t>）</w:t>
      </w:r>
      <w:r>
        <w:rPr>
          <w:b/>
          <w:spacing w:val="-29"/>
          <w:w w:val="99"/>
          <w:sz w:val="28"/>
        </w:rPr>
        <w:t>：</w:t>
      </w:r>
      <w:r>
        <w:rPr>
          <w:spacing w:val="-8"/>
          <w:sz w:val="28"/>
        </w:rPr>
        <w:t>描述数据系统中技</w:t>
      </w:r>
      <w:r>
        <w:rPr>
          <w:spacing w:val="-2"/>
          <w:sz w:val="28"/>
        </w:rPr>
        <w:t>术领域相关概念、关系和规则的数据；包括数据平台内对象</w:t>
      </w:r>
      <w:r>
        <w:rPr>
          <w:spacing w:val="-2"/>
          <w:sz w:val="28"/>
        </w:rPr>
        <w:t>和数据结构的定义、源数据到目的数据的映射、数据转换的</w:t>
      </w:r>
      <w:r>
        <w:rPr>
          <w:spacing w:val="-4"/>
          <w:sz w:val="28"/>
        </w:rPr>
        <w:t>描述等；</w:t>
      </w:r>
    </w:p>
    <w:p>
      <w:pPr>
        <w:pStyle w:val="ListParagraph"/>
        <w:numPr>
          <w:ilvl w:val="1"/>
          <w:numId w:val="9"/>
        </w:numPr>
        <w:tabs>
          <w:tab w:pos="3001" w:val="left" w:leader="none"/>
        </w:tabs>
        <w:spacing w:line="417" w:lineRule="auto" w:before="0" w:after="0"/>
        <w:ind w:left="2299" w:right="1314" w:firstLine="201"/>
        <w:jc w:val="both"/>
        <w:rPr>
          <w:sz w:val="28"/>
        </w:rPr>
      </w:pPr>
      <w:r>
        <w:rPr>
          <w:rFonts w:ascii="黑体" w:hAnsi="黑体" w:eastAsia="黑体"/>
          <w:spacing w:val="-4"/>
          <w:sz w:val="28"/>
        </w:rPr>
        <w:t>业务元数据</w:t>
      </w:r>
      <w:r>
        <w:rPr>
          <w:b/>
          <w:spacing w:val="-4"/>
          <w:sz w:val="28"/>
        </w:rPr>
        <w:t>（</w:t>
      </w:r>
      <w:r>
        <w:rPr>
          <w:rFonts w:ascii="Times New Roman" w:hAnsi="Times New Roman" w:eastAsia="Times New Roman"/>
          <w:b/>
          <w:spacing w:val="-4"/>
          <w:sz w:val="28"/>
        </w:rPr>
        <w:t>Business </w:t>
      </w:r>
      <w:r>
        <w:rPr>
          <w:rFonts w:ascii="Times New Roman" w:hAnsi="Times New Roman" w:eastAsia="Times New Roman"/>
          <w:b/>
          <w:spacing w:val="8"/>
          <w:sz w:val="28"/>
        </w:rPr>
        <w:t>M</w:t>
      </w:r>
      <w:r>
        <w:rPr>
          <w:rFonts w:ascii="Times New Roman" w:hAnsi="Times New Roman" w:eastAsia="Times New Roman"/>
          <w:b/>
          <w:spacing w:val="10"/>
          <w:sz w:val="28"/>
        </w:rPr>
        <w:t>et</w:t>
      </w:r>
      <w:r>
        <w:rPr>
          <w:rFonts w:ascii="Times New Roman" w:hAnsi="Times New Roman" w:eastAsia="Times New Roman"/>
          <w:b/>
          <w:spacing w:val="9"/>
          <w:sz w:val="28"/>
        </w:rPr>
        <w:t>a</w:t>
      </w:r>
      <w:r>
        <w:rPr>
          <w:rFonts w:ascii="Times New Roman" w:hAnsi="Times New Roman" w:eastAsia="Times New Roman"/>
          <w:b/>
          <w:spacing w:val="10"/>
          <w:sz w:val="28"/>
        </w:rPr>
        <w:t>da</w:t>
      </w:r>
      <w:r>
        <w:rPr>
          <w:rFonts w:ascii="Times New Roman" w:hAnsi="Times New Roman" w:eastAsia="Times New Roman"/>
          <w:b/>
          <w:spacing w:val="7"/>
          <w:sz w:val="28"/>
        </w:rPr>
        <w:t>t</w:t>
      </w:r>
      <w:r>
        <w:rPr>
          <w:rFonts w:ascii="Times New Roman" w:hAnsi="Times New Roman" w:eastAsia="Times New Roman"/>
          <w:b/>
          <w:spacing w:val="10"/>
          <w:sz w:val="28"/>
        </w:rPr>
        <w:t>a</w:t>
      </w:r>
      <w:r>
        <w:rPr>
          <w:b/>
          <w:spacing w:val="-130"/>
          <w:w w:val="99"/>
          <w:sz w:val="28"/>
        </w:rPr>
        <w:t>）</w:t>
      </w:r>
      <w:r>
        <w:rPr>
          <w:b/>
          <w:spacing w:val="10"/>
          <w:w w:val="99"/>
          <w:sz w:val="28"/>
        </w:rPr>
        <w:t>：</w:t>
      </w:r>
      <w:r>
        <w:rPr>
          <w:spacing w:val="-4"/>
          <w:sz w:val="28"/>
        </w:rPr>
        <w:t>描述数据系统中业</w:t>
      </w:r>
      <w:r>
        <w:rPr>
          <w:spacing w:val="-2"/>
          <w:sz w:val="28"/>
        </w:rPr>
        <w:t>务领域相关概念、关系和规则的数据；包括业务术语、信息</w:t>
      </w:r>
      <w:r>
        <w:rPr>
          <w:spacing w:val="-2"/>
          <w:sz w:val="28"/>
        </w:rPr>
        <w:t>分类、指标、统计口径等；</w:t>
      </w:r>
    </w:p>
    <w:p>
      <w:pPr>
        <w:pStyle w:val="ListParagraph"/>
        <w:numPr>
          <w:ilvl w:val="1"/>
          <w:numId w:val="9"/>
        </w:numPr>
        <w:tabs>
          <w:tab w:pos="3001" w:val="left" w:leader="none"/>
        </w:tabs>
        <w:spacing w:line="358" w:lineRule="exact" w:before="0" w:after="0"/>
        <w:ind w:left="3000" w:right="0" w:hanging="500"/>
        <w:jc w:val="both"/>
        <w:rPr>
          <w:sz w:val="28"/>
        </w:rPr>
      </w:pPr>
      <w:r>
        <w:rPr>
          <w:rFonts w:ascii="黑体" w:hAnsi="黑体" w:eastAsia="黑体"/>
          <w:spacing w:val="-4"/>
          <w:sz w:val="28"/>
        </w:rPr>
        <w:t>管理元数据</w:t>
      </w:r>
      <w:r>
        <w:rPr>
          <w:b/>
          <w:spacing w:val="-4"/>
          <w:sz w:val="28"/>
        </w:rPr>
        <w:t>（</w:t>
      </w:r>
      <w:r>
        <w:rPr>
          <w:rFonts w:ascii="Times New Roman" w:hAnsi="Times New Roman" w:eastAsia="Times New Roman"/>
          <w:b/>
          <w:spacing w:val="-4"/>
          <w:sz w:val="28"/>
        </w:rPr>
        <w:t>Management</w:t>
      </w:r>
      <w:r>
        <w:rPr>
          <w:rFonts w:ascii="Times New Roman" w:hAnsi="Times New Roman" w:eastAsia="Times New Roman"/>
          <w:b/>
          <w:spacing w:val="14"/>
          <w:sz w:val="28"/>
        </w:rPr>
        <w:t> </w:t>
      </w:r>
      <w:r>
        <w:rPr>
          <w:rFonts w:ascii="Times New Roman" w:hAnsi="Times New Roman" w:eastAsia="Times New Roman"/>
          <w:b/>
          <w:spacing w:val="8"/>
          <w:sz w:val="28"/>
        </w:rPr>
        <w:t>M</w:t>
      </w:r>
      <w:r>
        <w:rPr>
          <w:rFonts w:ascii="Times New Roman" w:hAnsi="Times New Roman" w:eastAsia="Times New Roman"/>
          <w:b/>
          <w:spacing w:val="10"/>
          <w:sz w:val="28"/>
        </w:rPr>
        <w:t>et</w:t>
      </w:r>
      <w:r>
        <w:rPr>
          <w:rFonts w:ascii="Times New Roman" w:hAnsi="Times New Roman" w:eastAsia="Times New Roman"/>
          <w:b/>
          <w:spacing w:val="11"/>
          <w:sz w:val="28"/>
        </w:rPr>
        <w:t>a</w:t>
      </w:r>
      <w:r>
        <w:rPr>
          <w:rFonts w:ascii="Times New Roman" w:hAnsi="Times New Roman" w:eastAsia="Times New Roman"/>
          <w:b/>
          <w:spacing w:val="7"/>
          <w:sz w:val="28"/>
        </w:rPr>
        <w:t>d</w:t>
      </w:r>
      <w:r>
        <w:rPr>
          <w:rFonts w:ascii="Times New Roman" w:hAnsi="Times New Roman" w:eastAsia="Times New Roman"/>
          <w:b/>
          <w:spacing w:val="10"/>
          <w:sz w:val="28"/>
        </w:rPr>
        <w:t>a</w:t>
      </w:r>
      <w:r>
        <w:rPr>
          <w:rFonts w:ascii="Times New Roman" w:hAnsi="Times New Roman" w:eastAsia="Times New Roman"/>
          <w:b/>
          <w:spacing w:val="7"/>
          <w:sz w:val="28"/>
        </w:rPr>
        <w:t>t</w:t>
      </w:r>
      <w:r>
        <w:rPr>
          <w:rFonts w:ascii="Times New Roman" w:hAnsi="Times New Roman" w:eastAsia="Times New Roman"/>
          <w:b/>
          <w:spacing w:val="9"/>
          <w:sz w:val="28"/>
        </w:rPr>
        <w:t>a</w:t>
      </w:r>
      <w:r>
        <w:rPr>
          <w:b/>
          <w:spacing w:val="-130"/>
          <w:w w:val="99"/>
          <w:sz w:val="28"/>
        </w:rPr>
        <w:t>）</w:t>
      </w:r>
      <w:r>
        <w:rPr>
          <w:b/>
          <w:spacing w:val="12"/>
          <w:w w:val="99"/>
          <w:sz w:val="28"/>
        </w:rPr>
        <w:t>：</w:t>
      </w:r>
      <w:r>
        <w:rPr>
          <w:spacing w:val="-5"/>
          <w:sz w:val="28"/>
        </w:rPr>
        <w:t>描述数据系统</w:t>
      </w:r>
    </w:p>
    <w:p>
      <w:pPr>
        <w:pStyle w:val="BodyText"/>
        <w:spacing w:before="12"/>
        <w:rPr>
          <w:sz w:val="15"/>
        </w:rPr>
      </w:pPr>
    </w:p>
    <w:p>
      <w:pPr>
        <w:spacing w:before="93"/>
        <w:ind w:left="1329" w:right="1325" w:firstLine="0"/>
        <w:jc w:val="center"/>
        <w:rPr>
          <w:rFonts w:ascii="Times New Roman"/>
          <w:sz w:val="18"/>
        </w:rPr>
      </w:pPr>
      <w:r>
        <w:rPr>
          <w:rFonts w:ascii="Times New Roman"/>
          <w:spacing w:val="-5"/>
          <w:sz w:val="18"/>
        </w:rPr>
        <w:t>15</w:t>
      </w:r>
    </w:p>
    <w:p>
      <w:pPr>
        <w:spacing w:after="0"/>
        <w:jc w:val="center"/>
        <w:rPr>
          <w:rFonts w:ascii="Times New Roman"/>
          <w:sz w:val="18"/>
        </w:rPr>
        <w:sectPr>
          <w:headerReference w:type="default" r:id="rId26"/>
          <w:pgSz w:w="11910" w:h="16840"/>
          <w:pgMar w:header="877" w:footer="0" w:top="1100" w:bottom="280" w:left="480" w:right="480"/>
        </w:sectPr>
      </w:pPr>
    </w:p>
    <w:p>
      <w:pPr>
        <w:pStyle w:val="BodyText"/>
        <w:rPr>
          <w:rFonts w:ascii="Times New Roman"/>
          <w:sz w:val="20"/>
        </w:rPr>
      </w:pPr>
    </w:p>
    <w:p>
      <w:pPr>
        <w:pStyle w:val="BodyText"/>
        <w:spacing w:line="417" w:lineRule="auto" w:before="225"/>
        <w:ind w:left="2299" w:right="1314"/>
      </w:pPr>
      <w:r>
        <w:rPr>
          <w:spacing w:val="-2"/>
        </w:rPr>
        <w:t>中管理领域相关概念、关系、规则的数据，主要包括人员角</w:t>
      </w:r>
      <w:r>
        <w:rPr>
          <w:spacing w:val="-2"/>
        </w:rPr>
        <w:t>色、岗位职责、管理流程等信息。</w:t>
      </w:r>
    </w:p>
    <w:p>
      <w:pPr>
        <w:pStyle w:val="BodyText"/>
        <w:spacing w:line="417" w:lineRule="auto"/>
        <w:ind w:left="1320" w:right="1174" w:firstLine="559"/>
      </w:pPr>
      <w:r>
        <w:rPr>
          <w:rFonts w:ascii="黑体" w:hAnsi="黑体" w:eastAsia="黑体"/>
        </w:rPr>
        <w:t>元数据管理</w:t>
      </w:r>
      <w:r>
        <w:rPr>
          <w:b/>
        </w:rPr>
        <w:t>（</w:t>
      </w:r>
      <w:r>
        <w:rPr>
          <w:rFonts w:ascii="Times New Roman" w:hAnsi="Times New Roman" w:eastAsia="Times New Roman"/>
          <w:b/>
        </w:rPr>
        <w:t>Meta Data</w:t>
      </w:r>
      <w:r>
        <w:rPr>
          <w:rFonts w:ascii="Times New Roman" w:hAnsi="Times New Roman" w:eastAsia="Times New Roman"/>
          <w:b/>
          <w:spacing w:val="40"/>
        </w:rPr>
        <w:t> </w:t>
      </w:r>
      <w:r>
        <w:rPr>
          <w:rFonts w:ascii="Times New Roman" w:hAnsi="Times New Roman" w:eastAsia="Times New Roman"/>
          <w:b/>
        </w:rPr>
        <w:t>Management</w:t>
      </w:r>
      <w:r>
        <w:rPr>
          <w:b/>
        </w:rPr>
        <w:t>）</w:t>
      </w:r>
      <w:r>
        <w:rPr/>
        <w:t>是数据资产管理的重要</w:t>
      </w:r>
      <w:r>
        <w:rPr>
          <w:spacing w:val="-2"/>
        </w:rPr>
        <w:t>基础，是为获得高质量的、整合的元数据而进行的规划、实施与控制</w:t>
      </w:r>
      <w:r>
        <w:rPr>
          <w:spacing w:val="-17"/>
        </w:rPr>
        <w:t>行为。元数据管理的内容可以从以下六个角度进行概括，即</w:t>
      </w:r>
      <w:r>
        <w:rPr>
          <w:rFonts w:ascii="Times New Roman" w:hAnsi="Times New Roman" w:eastAsia="Times New Roman"/>
          <w:spacing w:val="-2"/>
        </w:rPr>
        <w:t>“</w:t>
      </w:r>
      <w:r>
        <w:rPr>
          <w:spacing w:val="-2"/>
        </w:rPr>
        <w:t>向前看</w:t>
      </w:r>
      <w:r>
        <w:rPr>
          <w:rFonts w:ascii="Times New Roman" w:hAnsi="Times New Roman" w:eastAsia="Times New Roman"/>
          <w:spacing w:val="-2"/>
        </w:rPr>
        <w:t>”</w:t>
      </w:r>
      <w:r>
        <w:rPr>
          <w:spacing w:val="-2"/>
        </w:rPr>
        <w:t>： </w:t>
      </w:r>
      <w:r>
        <w:rPr>
          <w:rFonts w:ascii="Times New Roman" w:hAnsi="Times New Roman" w:eastAsia="Times New Roman"/>
          <w:spacing w:val="-4"/>
        </w:rPr>
        <w:t>“</w:t>
      </w:r>
      <w:r>
        <w:rPr>
          <w:spacing w:val="-4"/>
        </w:rPr>
        <w:t>我</w:t>
      </w:r>
      <w:r>
        <w:rPr>
          <w:rFonts w:ascii="Times New Roman" w:hAnsi="Times New Roman" w:eastAsia="Times New Roman"/>
          <w:spacing w:val="-4"/>
        </w:rPr>
        <w:t>”</w:t>
      </w:r>
      <w:r>
        <w:rPr>
          <w:spacing w:val="-4"/>
        </w:rPr>
        <w:t>是谁加工出来的；</w:t>
      </w:r>
      <w:r>
        <w:rPr>
          <w:rFonts w:ascii="Times New Roman" w:hAnsi="Times New Roman" w:eastAsia="Times New Roman"/>
          <w:spacing w:val="-4"/>
        </w:rPr>
        <w:t>“</w:t>
      </w:r>
      <w:r>
        <w:rPr>
          <w:spacing w:val="-4"/>
        </w:rPr>
        <w:t>向后看</w:t>
      </w:r>
      <w:r>
        <w:rPr>
          <w:rFonts w:ascii="Times New Roman" w:hAnsi="Times New Roman" w:eastAsia="Times New Roman"/>
          <w:spacing w:val="-4"/>
        </w:rPr>
        <w:t>”</w:t>
      </w:r>
      <w:r>
        <w:rPr>
          <w:spacing w:val="-4"/>
        </w:rPr>
        <w:t>：</w:t>
      </w:r>
      <w:r>
        <w:rPr>
          <w:rFonts w:ascii="Times New Roman" w:hAnsi="Times New Roman" w:eastAsia="Times New Roman"/>
          <w:spacing w:val="-4"/>
        </w:rPr>
        <w:t>“</w:t>
      </w:r>
      <w:r>
        <w:rPr>
          <w:spacing w:val="-4"/>
        </w:rPr>
        <w:t>我</w:t>
      </w:r>
      <w:r>
        <w:rPr>
          <w:rFonts w:ascii="Times New Roman" w:hAnsi="Times New Roman" w:eastAsia="Times New Roman"/>
          <w:spacing w:val="-4"/>
        </w:rPr>
        <w:t>”</w:t>
      </w:r>
      <w:r>
        <w:rPr>
          <w:spacing w:val="-4"/>
        </w:rPr>
        <w:t>又支持了谁的加工；</w:t>
      </w:r>
      <w:r>
        <w:rPr>
          <w:rFonts w:ascii="Times New Roman" w:hAnsi="Times New Roman" w:eastAsia="Times New Roman"/>
          <w:spacing w:val="-4"/>
        </w:rPr>
        <w:t>“</w:t>
      </w:r>
      <w:r>
        <w:rPr>
          <w:spacing w:val="-4"/>
        </w:rPr>
        <w:t>看历史</w:t>
      </w:r>
      <w:r>
        <w:rPr>
          <w:rFonts w:ascii="Times New Roman" w:hAnsi="Times New Roman" w:eastAsia="Times New Roman"/>
          <w:spacing w:val="-4"/>
        </w:rPr>
        <w:t>”</w:t>
      </w:r>
      <w:r>
        <w:rPr>
          <w:spacing w:val="-4"/>
        </w:rPr>
        <w:t>：</w:t>
      </w:r>
      <w:r>
        <w:rPr>
          <w:spacing w:val="-2"/>
        </w:rPr>
        <w:t>过去的</w:t>
      </w:r>
      <w:r>
        <w:rPr>
          <w:rFonts w:ascii="Times New Roman" w:hAnsi="Times New Roman" w:eastAsia="Times New Roman"/>
          <w:spacing w:val="-2"/>
        </w:rPr>
        <w:t>“</w:t>
      </w:r>
      <w:r>
        <w:rPr>
          <w:spacing w:val="-2"/>
        </w:rPr>
        <w:t>我</w:t>
      </w:r>
      <w:r>
        <w:rPr>
          <w:rFonts w:ascii="Times New Roman" w:hAnsi="Times New Roman" w:eastAsia="Times New Roman"/>
          <w:spacing w:val="-2"/>
        </w:rPr>
        <w:t>”</w:t>
      </w:r>
      <w:r>
        <w:rPr>
          <w:spacing w:val="-2"/>
        </w:rPr>
        <w:t>长什么样子；</w:t>
      </w:r>
      <w:r>
        <w:rPr>
          <w:rFonts w:ascii="Times New Roman" w:hAnsi="Times New Roman" w:eastAsia="Times New Roman"/>
          <w:spacing w:val="-2"/>
        </w:rPr>
        <w:t>“</w:t>
      </w:r>
      <w:r>
        <w:rPr>
          <w:spacing w:val="-2"/>
        </w:rPr>
        <w:t>看本体</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我</w:t>
      </w:r>
      <w:r>
        <w:rPr>
          <w:rFonts w:ascii="Times New Roman" w:hAnsi="Times New Roman" w:eastAsia="Times New Roman"/>
          <w:spacing w:val="-2"/>
        </w:rPr>
        <w:t>”</w:t>
      </w:r>
      <w:r>
        <w:rPr>
          <w:spacing w:val="-2"/>
        </w:rPr>
        <w:t>的定义和格式是什么；</w:t>
      </w:r>
      <w:r>
        <w:rPr>
          <w:rFonts w:ascii="Times New Roman" w:hAnsi="Times New Roman" w:eastAsia="Times New Roman"/>
          <w:spacing w:val="-2"/>
        </w:rPr>
        <w:t>“</w:t>
      </w:r>
      <w:r>
        <w:rPr>
          <w:spacing w:val="-2"/>
        </w:rPr>
        <w:t>向上</w:t>
      </w:r>
      <w:r>
        <w:rPr>
          <w:spacing w:val="-2"/>
        </w:rPr>
        <w:t>看</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我</w:t>
      </w:r>
      <w:r>
        <w:rPr>
          <w:rFonts w:ascii="Times New Roman" w:hAnsi="Times New Roman" w:eastAsia="Times New Roman"/>
          <w:spacing w:val="-2"/>
        </w:rPr>
        <w:t>”</w:t>
      </w:r>
      <w:r>
        <w:rPr>
          <w:spacing w:val="-2"/>
        </w:rPr>
        <w:t>的父节点是谁；</w:t>
      </w:r>
      <w:r>
        <w:rPr>
          <w:rFonts w:ascii="Times New Roman" w:hAnsi="Times New Roman" w:eastAsia="Times New Roman"/>
          <w:spacing w:val="-2"/>
        </w:rPr>
        <w:t>“</w:t>
      </w:r>
      <w:r>
        <w:rPr>
          <w:spacing w:val="-2"/>
        </w:rPr>
        <w:t>向下看</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我</w:t>
      </w:r>
      <w:r>
        <w:rPr>
          <w:rFonts w:ascii="Times New Roman" w:hAnsi="Times New Roman" w:eastAsia="Times New Roman"/>
          <w:spacing w:val="-2"/>
        </w:rPr>
        <w:t>”</w:t>
      </w:r>
      <w:r>
        <w:rPr>
          <w:spacing w:val="-2"/>
        </w:rPr>
        <w:t>的子节点是谁。元数据管理</w:t>
      </w:r>
      <w:r>
        <w:rPr>
          <w:spacing w:val="-2"/>
        </w:rPr>
        <w:t>的关键活动包括：</w:t>
      </w:r>
    </w:p>
    <w:p>
      <w:pPr>
        <w:pStyle w:val="ListParagraph"/>
        <w:numPr>
          <w:ilvl w:val="1"/>
          <w:numId w:val="9"/>
        </w:numPr>
        <w:tabs>
          <w:tab w:pos="3000" w:val="left" w:leader="none"/>
          <w:tab w:pos="3001" w:val="left" w:leader="none"/>
        </w:tabs>
        <w:spacing w:line="358" w:lineRule="exact" w:before="0" w:after="0"/>
        <w:ind w:left="3000" w:right="0" w:hanging="500"/>
        <w:jc w:val="left"/>
        <w:rPr>
          <w:sz w:val="28"/>
        </w:rPr>
      </w:pPr>
      <w:r>
        <w:rPr>
          <w:spacing w:val="-3"/>
          <w:sz w:val="28"/>
        </w:rPr>
        <w:t>理解企业元数据管理需求；</w:t>
      </w:r>
    </w:p>
    <w:p>
      <w:pPr>
        <w:pStyle w:val="ListParagraph"/>
        <w:numPr>
          <w:ilvl w:val="1"/>
          <w:numId w:val="9"/>
        </w:numPr>
        <w:tabs>
          <w:tab w:pos="3000" w:val="left" w:leader="none"/>
          <w:tab w:pos="3001" w:val="left" w:leader="none"/>
        </w:tabs>
        <w:spacing w:line="240" w:lineRule="auto" w:before="264" w:after="0"/>
        <w:ind w:left="3000" w:right="0" w:hanging="500"/>
        <w:jc w:val="left"/>
        <w:rPr>
          <w:sz w:val="28"/>
        </w:rPr>
      </w:pPr>
      <w:r>
        <w:rPr>
          <w:spacing w:val="-3"/>
          <w:sz w:val="28"/>
        </w:rPr>
        <w:t>开发和维护元数据标准；</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建设元数据管理工具；</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创建、采集、整合元数据；</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管理元数据存储库；</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分发和使用元数据。</w:t>
      </w:r>
    </w:p>
    <w:p>
      <w:pPr>
        <w:pStyle w:val="ListParagraph"/>
        <w:numPr>
          <w:ilvl w:val="1"/>
          <w:numId w:val="9"/>
        </w:numPr>
        <w:tabs>
          <w:tab w:pos="3001" w:val="left" w:leader="none"/>
        </w:tabs>
        <w:spacing w:line="240" w:lineRule="auto" w:before="265" w:after="0"/>
        <w:ind w:left="3000" w:right="0" w:hanging="500"/>
        <w:jc w:val="both"/>
        <w:rPr>
          <w:sz w:val="28"/>
        </w:rPr>
      </w:pPr>
      <w:r>
        <w:rPr>
          <w:spacing w:val="-2"/>
          <w:sz w:val="28"/>
        </w:rPr>
        <w:t>元数据分析（血缘分析、影响分析、数据地图等</w:t>
      </w:r>
      <w:r>
        <w:rPr>
          <w:spacing w:val="-10"/>
          <w:sz w:val="28"/>
        </w:rPr>
        <w:t>）</w:t>
      </w:r>
    </w:p>
    <w:p>
      <w:pPr>
        <w:pStyle w:val="BodyText"/>
        <w:spacing w:line="417" w:lineRule="auto" w:before="265"/>
        <w:ind w:left="1320" w:right="1316" w:firstLine="559"/>
        <w:jc w:val="both"/>
      </w:pPr>
      <w:r>
        <w:rPr>
          <w:spacing w:val="-12"/>
        </w:rPr>
        <w:t>通过元数据管理活动，可以使企业数据信息的描述和分类实现格</w:t>
      </w:r>
      <w:r>
        <w:rPr>
          <w:spacing w:val="-4"/>
        </w:rPr>
        <w:t>式统一，有助于理解数据的真实含义，为数据资源的管理和数据应用</w:t>
      </w:r>
      <w:r>
        <w:rPr>
          <w:spacing w:val="-2"/>
        </w:rPr>
        <w:t>奠定了基础。</w:t>
      </w:r>
    </w:p>
    <w:p>
      <w:pPr>
        <w:pStyle w:val="Heading3"/>
        <w:numPr>
          <w:ilvl w:val="0"/>
          <w:numId w:val="9"/>
        </w:numPr>
        <w:tabs>
          <w:tab w:pos="2580" w:val="left" w:leader="none"/>
          <w:tab w:pos="2581" w:val="left" w:leader="none"/>
        </w:tabs>
        <w:spacing w:line="240" w:lineRule="auto" w:before="212" w:after="0"/>
        <w:ind w:left="2580" w:right="0" w:hanging="620"/>
        <w:jc w:val="left"/>
      </w:pPr>
      <w:bookmarkStart w:name="_bookmark24" w:id="25"/>
      <w:bookmarkEnd w:id="25"/>
      <w:r>
        <w:rPr>
          <w:w w:val="95"/>
        </w:rPr>
        <w:t>主</w:t>
      </w:r>
      <w:r>
        <w:rPr>
          <w:w w:val="95"/>
        </w:rPr>
        <w:t>数</w:t>
      </w:r>
      <w:r>
        <w:rPr>
          <w:w w:val="95"/>
        </w:rPr>
        <w:t>据</w:t>
      </w:r>
      <w:r>
        <w:rPr>
          <w:spacing w:val="-5"/>
          <w:w w:val="95"/>
        </w:rPr>
        <w:t>管理</w:t>
      </w:r>
    </w:p>
    <w:p>
      <w:pPr>
        <w:pStyle w:val="BodyText"/>
        <w:spacing w:line="620" w:lineRule="atLeast" w:before="41"/>
        <w:ind w:left="1320" w:right="1318" w:firstLine="559"/>
        <w:jc w:val="both"/>
      </w:pPr>
      <w:r>
        <w:rPr>
          <w:rFonts w:ascii="黑体" w:eastAsia="黑体"/>
        </w:rPr>
        <w:t>主数据</w:t>
      </w:r>
      <w:r>
        <w:rPr/>
        <w:t>（</w:t>
      </w:r>
      <w:r>
        <w:rPr>
          <w:rFonts w:ascii="Times New Roman" w:eastAsia="Times New Roman"/>
          <w:b/>
        </w:rPr>
        <w:t>Master Data</w:t>
      </w:r>
      <w:r>
        <w:rPr/>
        <w:t>）是是指用来描述企业核心业务实体的数</w:t>
      </w:r>
      <w:r>
        <w:rPr>
          <w:spacing w:val="-7"/>
        </w:rPr>
        <w:t>据，是企业核心业务对象、交易业务的执行主体。是在整个价值链上</w:t>
      </w:r>
    </w:p>
    <w:p>
      <w:pPr>
        <w:spacing w:before="83"/>
        <w:ind w:left="1329" w:right="1325" w:firstLine="0"/>
        <w:jc w:val="center"/>
        <w:rPr>
          <w:rFonts w:ascii="Times New Roman"/>
          <w:sz w:val="18"/>
        </w:rPr>
      </w:pPr>
      <w:r>
        <w:rPr>
          <w:rFonts w:ascii="Times New Roman"/>
          <w:spacing w:val="-5"/>
          <w:sz w:val="18"/>
        </w:rPr>
        <w:t>16</w:t>
      </w:r>
    </w:p>
    <w:p>
      <w:pPr>
        <w:spacing w:after="0"/>
        <w:jc w:val="center"/>
        <w:rPr>
          <w:rFonts w:ascii="Times New Roman"/>
          <w:sz w:val="18"/>
        </w:rPr>
        <w:sectPr>
          <w:headerReference w:type="default" r:id="rId27"/>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1"/>
        <w:jc w:val="both"/>
      </w:pPr>
      <w:r>
        <w:rPr>
          <w:spacing w:val="-4"/>
        </w:rPr>
        <w:t>被重复、共享应用于多个业务流程的、跨越各个业务部门、各个系统</w:t>
      </w:r>
      <w:r>
        <w:rPr>
          <w:spacing w:val="-4"/>
        </w:rPr>
        <w:t>之间共享的、高价值的基础数据，是各业务应用和各系统之间进行信</w:t>
      </w:r>
      <w:r>
        <w:rPr>
          <w:spacing w:val="-2"/>
        </w:rPr>
        <w:t>息交互的基础。从业务角度，主数据是相对</w:t>
      </w:r>
      <w:r>
        <w:rPr>
          <w:rFonts w:ascii="Times New Roman" w:hAnsi="Times New Roman" w:eastAsia="Times New Roman"/>
          <w:spacing w:val="-2"/>
        </w:rPr>
        <w:t>“</w:t>
      </w:r>
      <w:r>
        <w:rPr>
          <w:spacing w:val="-2"/>
        </w:rPr>
        <w:t>固定</w:t>
      </w:r>
      <w:r>
        <w:rPr>
          <w:rFonts w:ascii="Times New Roman" w:hAnsi="Times New Roman" w:eastAsia="Times New Roman"/>
          <w:spacing w:val="-2"/>
        </w:rPr>
        <w:t>”</w:t>
      </w:r>
      <w:r>
        <w:rPr>
          <w:spacing w:val="-2"/>
        </w:rPr>
        <w:t>的，变化缓慢。主</w:t>
      </w:r>
      <w:r>
        <w:rPr>
          <w:spacing w:val="-4"/>
        </w:rPr>
        <w:t>数据是企业信息系统的神经中枢，是业务运行和决策分析的基础。例</w:t>
      </w:r>
      <w:r>
        <w:rPr>
          <w:spacing w:val="-1"/>
        </w:rPr>
        <w:t>如供应商、客户、企业组织机构和员工、产品、渠道、科目 </w:t>
      </w:r>
      <w:r>
        <w:rPr>
          <w:rFonts w:ascii="Times New Roman" w:hAnsi="Times New Roman" w:eastAsia="Times New Roman"/>
        </w:rPr>
        <w:t>COA</w:t>
      </w:r>
      <w:r>
        <w:rPr/>
        <w:t>、 </w:t>
      </w:r>
      <w:r>
        <w:rPr>
          <w:rFonts w:ascii="Times New Roman" w:hAnsi="Times New Roman" w:eastAsia="Times New Roman"/>
        </w:rPr>
        <w:t>BOM </w:t>
      </w:r>
      <w:r>
        <w:rPr/>
        <w:t>等。</w:t>
      </w:r>
    </w:p>
    <w:p>
      <w:pPr>
        <w:spacing w:line="417" w:lineRule="auto" w:before="0"/>
        <w:ind w:left="1320" w:right="1314" w:firstLine="559"/>
        <w:jc w:val="both"/>
        <w:rPr>
          <w:sz w:val="28"/>
        </w:rPr>
      </w:pPr>
      <w:r>
        <w:rPr>
          <w:rFonts w:ascii="黑体" w:eastAsia="黑体"/>
          <w:sz w:val="28"/>
        </w:rPr>
        <w:t>主数据管理</w:t>
      </w:r>
      <w:r>
        <w:rPr>
          <w:b/>
          <w:sz w:val="28"/>
        </w:rPr>
        <w:t>（</w:t>
      </w:r>
      <w:r>
        <w:rPr>
          <w:rFonts w:ascii="Times New Roman" w:eastAsia="Times New Roman"/>
          <w:b/>
          <w:sz w:val="28"/>
        </w:rPr>
        <w:t>MDM </w:t>
      </w:r>
      <w:r>
        <w:rPr>
          <w:b/>
          <w:sz w:val="28"/>
        </w:rPr>
        <w:t>，</w:t>
      </w:r>
      <w:r>
        <w:rPr>
          <w:rFonts w:ascii="Times New Roman" w:eastAsia="Times New Roman"/>
          <w:b/>
          <w:sz w:val="28"/>
        </w:rPr>
        <w:t>Master Data Management</w:t>
      </w:r>
      <w:r>
        <w:rPr>
          <w:b/>
          <w:sz w:val="28"/>
        </w:rPr>
        <w:t>）</w:t>
      </w:r>
      <w:r>
        <w:rPr>
          <w:sz w:val="28"/>
        </w:rPr>
        <w:t>是一系列规</w:t>
      </w:r>
      <w:r>
        <w:rPr>
          <w:spacing w:val="-4"/>
          <w:sz w:val="28"/>
        </w:rPr>
        <w:t>则、应用和技术，用以协调和管理与企业的核心业务实体相关的系统</w:t>
      </w:r>
      <w:r>
        <w:rPr>
          <w:spacing w:val="-2"/>
          <w:sz w:val="28"/>
        </w:rPr>
        <w:t>记录数据。主数据管理的关键活动包括：</w:t>
      </w:r>
    </w:p>
    <w:p>
      <w:pPr>
        <w:pStyle w:val="ListParagraph"/>
        <w:numPr>
          <w:ilvl w:val="1"/>
          <w:numId w:val="9"/>
        </w:numPr>
        <w:tabs>
          <w:tab w:pos="3001" w:val="left" w:leader="none"/>
        </w:tabs>
        <w:spacing w:line="358" w:lineRule="exact" w:before="0" w:after="0"/>
        <w:ind w:left="3000" w:right="0" w:hanging="500"/>
        <w:jc w:val="both"/>
        <w:rPr>
          <w:sz w:val="28"/>
        </w:rPr>
      </w:pPr>
      <w:r>
        <w:rPr>
          <w:spacing w:val="-3"/>
          <w:sz w:val="28"/>
        </w:rPr>
        <w:t>理解主数据的整合需求；</w:t>
      </w:r>
    </w:p>
    <w:p>
      <w:pPr>
        <w:pStyle w:val="ListParagraph"/>
        <w:numPr>
          <w:ilvl w:val="1"/>
          <w:numId w:val="9"/>
        </w:numPr>
        <w:tabs>
          <w:tab w:pos="3000" w:val="left" w:leader="none"/>
          <w:tab w:pos="3001" w:val="left" w:leader="none"/>
        </w:tabs>
        <w:spacing w:line="240" w:lineRule="auto" w:before="264" w:after="0"/>
        <w:ind w:left="3000" w:right="0" w:hanging="500"/>
        <w:jc w:val="left"/>
        <w:rPr>
          <w:sz w:val="28"/>
        </w:rPr>
      </w:pPr>
      <w:r>
        <w:rPr>
          <w:spacing w:val="-3"/>
          <w:sz w:val="28"/>
        </w:rPr>
        <w:t>识别主数据的来源；</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定义和维护数据整合架构；</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实施主数据解决方案；</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定义和维护数据匹配规则；</w:t>
      </w:r>
    </w:p>
    <w:p>
      <w:pPr>
        <w:pStyle w:val="ListParagraph"/>
        <w:numPr>
          <w:ilvl w:val="1"/>
          <w:numId w:val="9"/>
        </w:numPr>
        <w:tabs>
          <w:tab w:pos="3000" w:val="left" w:leader="none"/>
          <w:tab w:pos="3001" w:val="left" w:leader="none"/>
        </w:tabs>
        <w:spacing w:line="417" w:lineRule="auto" w:before="265" w:after="0"/>
        <w:ind w:left="2299" w:right="1317" w:firstLine="201"/>
        <w:jc w:val="left"/>
        <w:rPr>
          <w:sz w:val="28"/>
        </w:rPr>
      </w:pPr>
      <w:r>
        <w:rPr>
          <w:spacing w:val="-2"/>
          <w:sz w:val="28"/>
        </w:rPr>
        <w:t>根据业务规则和数据质量标准对收集到的主数据进行</w:t>
      </w:r>
      <w:r>
        <w:rPr>
          <w:spacing w:val="-4"/>
          <w:sz w:val="28"/>
        </w:rPr>
        <w:t>加工清理</w:t>
      </w:r>
    </w:p>
    <w:p>
      <w:pPr>
        <w:pStyle w:val="ListParagraph"/>
        <w:numPr>
          <w:ilvl w:val="1"/>
          <w:numId w:val="9"/>
        </w:numPr>
        <w:tabs>
          <w:tab w:pos="3000" w:val="left" w:leader="none"/>
          <w:tab w:pos="3001" w:val="left" w:leader="none"/>
        </w:tabs>
        <w:spacing w:line="358" w:lineRule="exact" w:before="0" w:after="0"/>
        <w:ind w:left="3000" w:right="0" w:hanging="500"/>
        <w:jc w:val="left"/>
        <w:rPr>
          <w:sz w:val="28"/>
        </w:rPr>
      </w:pPr>
      <w:r>
        <w:rPr>
          <w:spacing w:val="-3"/>
          <w:sz w:val="28"/>
        </w:rPr>
        <w:t>建立主数据创建、变更的流程审批机制</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实现各个关联系统与主数据存储库数据同步</w:t>
      </w:r>
    </w:p>
    <w:p>
      <w:pPr>
        <w:pStyle w:val="ListParagraph"/>
        <w:numPr>
          <w:ilvl w:val="1"/>
          <w:numId w:val="9"/>
        </w:numPr>
        <w:tabs>
          <w:tab w:pos="3001" w:val="left" w:leader="none"/>
        </w:tabs>
        <w:spacing w:line="240" w:lineRule="auto" w:before="266" w:after="0"/>
        <w:ind w:left="3000" w:right="0" w:hanging="500"/>
        <w:jc w:val="both"/>
        <w:rPr>
          <w:sz w:val="28"/>
        </w:rPr>
      </w:pPr>
      <w:r>
        <w:rPr>
          <w:spacing w:val="-3"/>
          <w:sz w:val="28"/>
        </w:rPr>
        <w:t>方便修改、监控、更新关联系统主数据变化</w:t>
      </w:r>
    </w:p>
    <w:p>
      <w:pPr>
        <w:pStyle w:val="BodyText"/>
        <w:spacing w:line="417" w:lineRule="auto" w:before="265"/>
        <w:ind w:left="1320" w:right="1315" w:firstLine="559"/>
        <w:jc w:val="both"/>
      </w:pPr>
      <w:r>
        <w:rPr>
          <w:spacing w:val="-8"/>
        </w:rPr>
        <w:t>主数据管理通过对主数据值进行控制，使得企业可以跨系统的使</w:t>
      </w:r>
      <w:r>
        <w:rPr>
          <w:spacing w:val="-10"/>
        </w:rPr>
        <w:t>用一致的和共享的主数据，提供来自权威数据源的协调一致的高质量</w:t>
      </w:r>
      <w:r>
        <w:rPr>
          <w:spacing w:val="-24"/>
        </w:rPr>
        <w:t>主数据，降低成本和复杂度，从而支撑跨部门、跨系统数据融合应用。</w:t>
      </w:r>
    </w:p>
    <w:p>
      <w:pPr>
        <w:pStyle w:val="BodyText"/>
        <w:spacing w:before="9"/>
        <w:rPr>
          <w:sz w:val="18"/>
        </w:rPr>
      </w:pPr>
    </w:p>
    <w:p>
      <w:pPr>
        <w:spacing w:before="92"/>
        <w:ind w:left="1329" w:right="1325" w:firstLine="0"/>
        <w:jc w:val="center"/>
        <w:rPr>
          <w:rFonts w:ascii="Times New Roman"/>
          <w:sz w:val="18"/>
        </w:rPr>
      </w:pPr>
      <w:r>
        <w:rPr>
          <w:rFonts w:ascii="Times New Roman"/>
          <w:spacing w:val="-5"/>
          <w:sz w:val="18"/>
        </w:rPr>
        <w:t>17</w:t>
      </w:r>
    </w:p>
    <w:p>
      <w:pPr>
        <w:spacing w:after="0"/>
        <w:jc w:val="center"/>
        <w:rPr>
          <w:rFonts w:ascii="Times New Roman"/>
          <w:sz w:val="18"/>
        </w:rPr>
        <w:sectPr>
          <w:headerReference w:type="default" r:id="rId28"/>
          <w:pgSz w:w="11910" w:h="16840"/>
          <w:pgMar w:header="877" w:footer="0" w:top="1100" w:bottom="280" w:left="480" w:right="480"/>
        </w:sectPr>
      </w:pPr>
    </w:p>
    <w:p>
      <w:pPr>
        <w:pStyle w:val="BodyText"/>
        <w:rPr>
          <w:rFonts w:ascii="Times New Roman"/>
          <w:sz w:val="20"/>
        </w:rPr>
      </w:pPr>
    </w:p>
    <w:p>
      <w:pPr>
        <w:pStyle w:val="Heading3"/>
        <w:numPr>
          <w:ilvl w:val="0"/>
          <w:numId w:val="9"/>
        </w:numPr>
        <w:tabs>
          <w:tab w:pos="2580" w:val="left" w:leader="none"/>
          <w:tab w:pos="2581" w:val="left" w:leader="none"/>
        </w:tabs>
        <w:spacing w:line="240" w:lineRule="auto" w:before="197" w:after="0"/>
        <w:ind w:left="2580" w:right="0" w:hanging="620"/>
        <w:jc w:val="left"/>
      </w:pPr>
      <w:bookmarkStart w:name="_bookmark25" w:id="26"/>
      <w:bookmarkEnd w:id="26"/>
      <w:r>
        <w:rPr>
          <w:w w:val="95"/>
        </w:rPr>
        <w:t>数</w:t>
      </w:r>
      <w:r>
        <w:rPr>
          <w:w w:val="95"/>
        </w:rPr>
        <w:t>据</w:t>
      </w:r>
      <w:r>
        <w:rPr>
          <w:w w:val="95"/>
        </w:rPr>
        <w:t>质</w:t>
      </w:r>
      <w:r>
        <w:rPr>
          <w:w w:val="95"/>
        </w:rPr>
        <w:t>量</w:t>
      </w:r>
      <w:r>
        <w:rPr>
          <w:w w:val="95"/>
        </w:rPr>
        <w:t>管</w:t>
      </w:r>
      <w:r>
        <w:rPr>
          <w:spacing w:val="-10"/>
          <w:w w:val="95"/>
        </w:rPr>
        <w:t>理</w:t>
      </w:r>
    </w:p>
    <w:p>
      <w:pPr>
        <w:pStyle w:val="BodyText"/>
        <w:spacing w:line="417" w:lineRule="auto" w:before="302"/>
        <w:ind w:left="1320" w:right="1311" w:firstLine="559"/>
        <w:jc w:val="both"/>
      </w:pPr>
      <w:r>
        <w:rPr>
          <w:rFonts w:ascii="黑体" w:eastAsia="黑体"/>
          <w:spacing w:val="-2"/>
        </w:rPr>
        <w:t>数据质量</w:t>
      </w:r>
      <w:r>
        <w:rPr>
          <w:spacing w:val="-11"/>
        </w:rPr>
        <w:t>是保证数据应用的基础。衡量数据质量的指标体系有很</w:t>
      </w:r>
      <w:r>
        <w:rPr>
          <w:spacing w:val="-2"/>
        </w:rPr>
        <w:t>多，几个典型的指标有：完整性（数据是否缺失</w:t>
      </w:r>
      <w:r>
        <w:rPr>
          <w:spacing w:val="-142"/>
        </w:rPr>
        <w:t>）</w:t>
      </w:r>
      <w:r>
        <w:rPr>
          <w:spacing w:val="-2"/>
        </w:rPr>
        <w:t>、规范性（数据是</w:t>
      </w:r>
      <w:r>
        <w:rPr>
          <w:spacing w:val="-2"/>
        </w:rPr>
        <w:t>否按照要求的规则存储</w:t>
      </w:r>
      <w:r>
        <w:rPr>
          <w:spacing w:val="-142"/>
        </w:rPr>
        <w:t>）</w:t>
      </w:r>
      <w:r>
        <w:rPr>
          <w:spacing w:val="-2"/>
        </w:rPr>
        <w:t>、一致性（数据的值是否存在信息含义上的</w:t>
      </w:r>
      <w:r>
        <w:rPr>
          <w:spacing w:val="-2"/>
        </w:rPr>
        <w:t>冲突</w:t>
      </w:r>
      <w:r>
        <w:rPr>
          <w:spacing w:val="-142"/>
        </w:rPr>
        <w:t>）</w:t>
      </w:r>
      <w:r>
        <w:rPr>
          <w:spacing w:val="-2"/>
        </w:rPr>
        <w:t>、准确性（数据是否错误</w:t>
      </w:r>
      <w:r>
        <w:rPr>
          <w:spacing w:val="-142"/>
        </w:rPr>
        <w:t>）</w:t>
      </w:r>
      <w:r>
        <w:rPr>
          <w:spacing w:val="-2"/>
        </w:rPr>
        <w:t>、唯一性（数据是否是重复的</w:t>
      </w:r>
      <w:r>
        <w:rPr>
          <w:spacing w:val="-141"/>
        </w:rPr>
        <w:t>）</w:t>
      </w:r>
      <w:r>
        <w:rPr>
          <w:spacing w:val="-2"/>
        </w:rPr>
        <w:t>、时效性（数据是否按照时间的要求进行上传</w:t>
      </w:r>
      <w:r>
        <w:rPr>
          <w:spacing w:val="-140"/>
        </w:rPr>
        <w:t>）</w:t>
      </w:r>
      <w:r>
        <w:rPr>
          <w:spacing w:val="-2"/>
        </w:rPr>
        <w:t>。数据质量是描述数据价</w:t>
      </w:r>
      <w:r>
        <w:rPr>
          <w:spacing w:val="-4"/>
        </w:rPr>
        <w:t>值含量的指标，就像铁矿石的质量，矿石的质量高，则炼出来的钢材</w:t>
      </w:r>
      <w:r>
        <w:rPr>
          <w:spacing w:val="-4"/>
        </w:rPr>
        <w:t>就会多；反之，矿石的质量低，不但练出来的钢材少了，同时也增加</w:t>
      </w:r>
      <w:r>
        <w:rPr>
          <w:spacing w:val="-2"/>
        </w:rPr>
        <w:t>了提炼的成本。</w:t>
      </w:r>
    </w:p>
    <w:p>
      <w:pPr>
        <w:pStyle w:val="BodyText"/>
        <w:spacing w:line="417" w:lineRule="auto" w:before="30"/>
        <w:ind w:left="1320" w:right="1313" w:firstLine="559"/>
        <w:jc w:val="both"/>
      </w:pPr>
      <w:r>
        <w:rPr>
          <w:rFonts w:ascii="黑体" w:eastAsia="黑体"/>
          <w:spacing w:val="-2"/>
        </w:rPr>
        <w:t>数据质量管理</w:t>
      </w:r>
      <w:r>
        <w:rPr>
          <w:spacing w:val="-10"/>
        </w:rPr>
        <w:t>是指运用相关技术来衡量、提高和确保数据质量的</w:t>
      </w:r>
      <w:r>
        <w:rPr>
          <w:spacing w:val="-4"/>
        </w:rPr>
        <w:t>规划、实施与控制等一系列活动。数据质量管理工作中的关键活动包</w:t>
      </w:r>
      <w:r>
        <w:rPr>
          <w:spacing w:val="-6"/>
        </w:rPr>
        <w:t>括：</w:t>
      </w:r>
    </w:p>
    <w:p>
      <w:pPr>
        <w:pStyle w:val="ListParagraph"/>
        <w:numPr>
          <w:ilvl w:val="1"/>
          <w:numId w:val="9"/>
        </w:numPr>
        <w:tabs>
          <w:tab w:pos="3001" w:val="left" w:leader="none"/>
        </w:tabs>
        <w:spacing w:line="358" w:lineRule="exact" w:before="0" w:after="0"/>
        <w:ind w:left="3000" w:right="0" w:hanging="500"/>
        <w:jc w:val="both"/>
        <w:rPr>
          <w:sz w:val="28"/>
        </w:rPr>
      </w:pPr>
      <w:r>
        <w:rPr>
          <w:spacing w:val="-3"/>
          <w:sz w:val="28"/>
        </w:rPr>
        <w:t>开发和提升数据质量意识；</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定义数据质量需求；</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剖析、分析和评估数据质量；</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定义数据质量测量指标；</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定义数据质量业务规则；</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测试和验证数据质量需求；</w:t>
      </w:r>
    </w:p>
    <w:p>
      <w:pPr>
        <w:pStyle w:val="ListParagraph"/>
        <w:numPr>
          <w:ilvl w:val="1"/>
          <w:numId w:val="9"/>
        </w:numPr>
        <w:tabs>
          <w:tab w:pos="3000" w:val="left" w:leader="none"/>
          <w:tab w:pos="3001" w:val="left" w:leader="none"/>
        </w:tabs>
        <w:spacing w:line="240" w:lineRule="auto" w:before="266" w:after="0"/>
        <w:ind w:left="3000" w:right="0" w:hanging="500"/>
        <w:jc w:val="left"/>
        <w:rPr>
          <w:sz w:val="28"/>
        </w:rPr>
      </w:pPr>
      <w:r>
        <w:rPr>
          <w:spacing w:val="-3"/>
          <w:sz w:val="28"/>
        </w:rPr>
        <w:t>确定与评估数据质量服务水平；</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持续测量和监控数据质量；</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管理数据质量问题；</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分析产生数据质量问题的根本原因</w:t>
      </w:r>
    </w:p>
    <w:p>
      <w:pPr>
        <w:pStyle w:val="BodyText"/>
        <w:spacing w:before="4"/>
        <w:rPr>
          <w:sz w:val="15"/>
        </w:rPr>
      </w:pPr>
    </w:p>
    <w:p>
      <w:pPr>
        <w:spacing w:before="93"/>
        <w:ind w:left="1329" w:right="1325" w:firstLine="0"/>
        <w:jc w:val="center"/>
        <w:rPr>
          <w:rFonts w:ascii="Times New Roman"/>
          <w:sz w:val="18"/>
        </w:rPr>
      </w:pPr>
      <w:r>
        <w:rPr>
          <w:rFonts w:ascii="Times New Roman"/>
          <w:spacing w:val="-5"/>
          <w:sz w:val="18"/>
        </w:rPr>
        <w:t>18</w:t>
      </w:r>
    </w:p>
    <w:p>
      <w:pPr>
        <w:spacing w:after="0"/>
        <w:jc w:val="center"/>
        <w:rPr>
          <w:rFonts w:ascii="Times New Roman"/>
          <w:sz w:val="18"/>
        </w:rPr>
        <w:sectPr>
          <w:headerReference w:type="default" r:id="rId29"/>
          <w:pgSz w:w="11910" w:h="16840"/>
          <w:pgMar w:header="877" w:footer="0" w:top="1100" w:bottom="280" w:left="480" w:right="480"/>
        </w:sectPr>
      </w:pPr>
    </w:p>
    <w:p>
      <w:pPr>
        <w:pStyle w:val="BodyText"/>
        <w:rPr>
          <w:rFonts w:ascii="Times New Roman"/>
          <w:sz w:val="20"/>
        </w:rPr>
      </w:pPr>
    </w:p>
    <w:p>
      <w:pPr>
        <w:pStyle w:val="ListParagraph"/>
        <w:numPr>
          <w:ilvl w:val="1"/>
          <w:numId w:val="9"/>
        </w:numPr>
        <w:tabs>
          <w:tab w:pos="3000" w:val="left" w:leader="none"/>
          <w:tab w:pos="3001" w:val="left" w:leader="none"/>
        </w:tabs>
        <w:spacing w:line="240" w:lineRule="auto" w:before="225" w:after="0"/>
        <w:ind w:left="3000" w:right="0" w:hanging="500"/>
        <w:jc w:val="left"/>
        <w:rPr>
          <w:sz w:val="28"/>
        </w:rPr>
      </w:pPr>
      <w:r>
        <w:rPr>
          <w:spacing w:val="-3"/>
          <w:sz w:val="28"/>
        </w:rPr>
        <w:t>制定数据质量改善方案</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清洗和纠正数据质量缺陷；</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设计并实施数据质量管理工具；</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监控数据质量管理操作程序和绩效。</w:t>
      </w:r>
    </w:p>
    <w:p>
      <w:pPr>
        <w:pStyle w:val="BodyText"/>
        <w:spacing w:line="417" w:lineRule="auto" w:before="266"/>
        <w:ind w:left="1320" w:right="1314" w:firstLine="559"/>
        <w:jc w:val="both"/>
      </w:pPr>
      <w:r>
        <w:rPr>
          <w:spacing w:val="-6"/>
        </w:rPr>
        <w:t>通过开展数据质量管理工作，企业可以获得干净、结构清晰的数</w:t>
      </w:r>
      <w:r>
        <w:rPr>
          <w:spacing w:val="-4"/>
        </w:rPr>
        <w:t>据，是企业开发大数据产品、提供对外数据服务、发挥大数据价值的</w:t>
      </w:r>
      <w:r>
        <w:rPr>
          <w:spacing w:val="-2"/>
        </w:rPr>
        <w:t>必要前提，也是企业开展数据资产管理的重要目标。</w:t>
      </w:r>
    </w:p>
    <w:p>
      <w:pPr>
        <w:pStyle w:val="Heading3"/>
        <w:numPr>
          <w:ilvl w:val="0"/>
          <w:numId w:val="9"/>
        </w:numPr>
        <w:tabs>
          <w:tab w:pos="2580" w:val="left" w:leader="none"/>
          <w:tab w:pos="2581" w:val="left" w:leader="none"/>
        </w:tabs>
        <w:spacing w:line="240" w:lineRule="auto" w:before="211" w:after="0"/>
        <w:ind w:left="2580" w:right="0" w:hanging="620"/>
        <w:jc w:val="left"/>
      </w:pPr>
      <w:bookmarkStart w:name="_bookmark26" w:id="27"/>
      <w:bookmarkEnd w:id="27"/>
      <w:r>
        <w:rPr>
          <w:w w:val="95"/>
        </w:rPr>
        <w:t>数</w:t>
      </w:r>
      <w:r>
        <w:rPr>
          <w:w w:val="95"/>
        </w:rPr>
        <w:t>据</w:t>
      </w:r>
      <w:r>
        <w:rPr>
          <w:w w:val="95"/>
        </w:rPr>
        <w:t>安</w:t>
      </w:r>
      <w:r>
        <w:rPr>
          <w:w w:val="95"/>
        </w:rPr>
        <w:t>全</w:t>
      </w:r>
      <w:r>
        <w:rPr>
          <w:w w:val="95"/>
        </w:rPr>
        <w:t>管</w:t>
      </w:r>
      <w:r>
        <w:rPr>
          <w:spacing w:val="-10"/>
          <w:w w:val="95"/>
        </w:rPr>
        <w:t>理</w:t>
      </w:r>
    </w:p>
    <w:p>
      <w:pPr>
        <w:pStyle w:val="BodyText"/>
        <w:spacing w:line="417" w:lineRule="auto" w:before="302"/>
        <w:ind w:left="1320" w:right="1178" w:firstLine="559"/>
      </w:pPr>
      <w:r>
        <w:rPr>
          <w:rFonts w:ascii="黑体" w:eastAsia="黑体"/>
          <w:spacing w:val="-2"/>
        </w:rPr>
        <w:t>数据安全管理</w:t>
      </w:r>
      <w:r>
        <w:rPr>
          <w:spacing w:val="-2"/>
        </w:rPr>
        <w:t>是指对数据设定安全等级，保证其被适当地使用。</w:t>
      </w:r>
      <w:r>
        <w:rPr>
          <w:spacing w:val="-2"/>
        </w:rPr>
        <w:t>企业通过数据安全管理，规划、开发和执行安全政策与措施，提供适</w:t>
      </w:r>
      <w:r>
        <w:rPr>
          <w:spacing w:val="-2"/>
        </w:rPr>
        <w:t>当的身份以确认、授权、访问与审计等功能。</w:t>
      </w:r>
    </w:p>
    <w:p>
      <w:pPr>
        <w:pStyle w:val="BodyText"/>
        <w:spacing w:line="358" w:lineRule="exact"/>
        <w:ind w:left="1879"/>
      </w:pPr>
      <w:r>
        <w:rPr>
          <w:spacing w:val="-3"/>
        </w:rPr>
        <w:t>数据安全管理的关键活动包括：</w:t>
      </w:r>
    </w:p>
    <w:p>
      <w:pPr>
        <w:pStyle w:val="BodyText"/>
        <w:spacing w:before="9"/>
        <w:rPr>
          <w:sz w:val="20"/>
        </w:rPr>
      </w:pPr>
    </w:p>
    <w:p>
      <w:pPr>
        <w:pStyle w:val="ListParagraph"/>
        <w:numPr>
          <w:ilvl w:val="1"/>
          <w:numId w:val="9"/>
        </w:numPr>
        <w:tabs>
          <w:tab w:pos="3001" w:val="left" w:leader="none"/>
        </w:tabs>
        <w:spacing w:line="240" w:lineRule="auto" w:before="0" w:after="0"/>
        <w:ind w:left="3000" w:right="0" w:hanging="500"/>
        <w:jc w:val="both"/>
        <w:rPr>
          <w:sz w:val="28"/>
        </w:rPr>
      </w:pPr>
      <w:r>
        <w:rPr>
          <w:spacing w:val="-3"/>
          <w:sz w:val="28"/>
        </w:rPr>
        <w:t>理解数据安全需求及监管要求；</w:t>
      </w:r>
    </w:p>
    <w:p>
      <w:pPr>
        <w:pStyle w:val="ListParagraph"/>
        <w:numPr>
          <w:ilvl w:val="1"/>
          <w:numId w:val="9"/>
        </w:numPr>
        <w:tabs>
          <w:tab w:pos="3001" w:val="left" w:leader="none"/>
        </w:tabs>
        <w:spacing w:line="240" w:lineRule="auto" w:before="266" w:after="0"/>
        <w:ind w:left="3000" w:right="0" w:hanging="500"/>
        <w:jc w:val="both"/>
        <w:rPr>
          <w:sz w:val="28"/>
        </w:rPr>
      </w:pPr>
      <w:r>
        <w:rPr>
          <w:spacing w:val="-3"/>
          <w:sz w:val="28"/>
        </w:rPr>
        <w:t>定义业务敏感数据对象</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定义数据安全策略；</w:t>
      </w:r>
    </w:p>
    <w:p>
      <w:pPr>
        <w:pStyle w:val="ListParagraph"/>
        <w:numPr>
          <w:ilvl w:val="1"/>
          <w:numId w:val="9"/>
        </w:numPr>
        <w:tabs>
          <w:tab w:pos="3001" w:val="left" w:leader="none"/>
        </w:tabs>
        <w:spacing w:line="240" w:lineRule="auto" w:before="265" w:after="0"/>
        <w:ind w:left="3000" w:right="0" w:hanging="500"/>
        <w:jc w:val="both"/>
        <w:rPr>
          <w:sz w:val="28"/>
        </w:rPr>
      </w:pPr>
      <w:r>
        <w:rPr>
          <w:spacing w:val="-4"/>
          <w:sz w:val="28"/>
        </w:rPr>
        <w:t>定义数据安全标准</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定义数据安全控制及措施；</w:t>
      </w:r>
    </w:p>
    <w:p>
      <w:pPr>
        <w:pStyle w:val="ListParagraph"/>
        <w:numPr>
          <w:ilvl w:val="1"/>
          <w:numId w:val="9"/>
        </w:numPr>
        <w:tabs>
          <w:tab w:pos="3001" w:val="left" w:leader="none"/>
        </w:tabs>
        <w:spacing w:line="240" w:lineRule="auto" w:before="266" w:after="0"/>
        <w:ind w:left="3000" w:right="0" w:hanging="500"/>
        <w:jc w:val="both"/>
        <w:rPr>
          <w:sz w:val="28"/>
        </w:rPr>
      </w:pPr>
      <w:r>
        <w:rPr>
          <w:spacing w:val="-3"/>
          <w:sz w:val="28"/>
        </w:rPr>
        <w:t>管理用户、密码和用户组成员；</w:t>
      </w:r>
    </w:p>
    <w:p>
      <w:pPr>
        <w:pStyle w:val="ListParagraph"/>
        <w:numPr>
          <w:ilvl w:val="1"/>
          <w:numId w:val="9"/>
        </w:numPr>
        <w:tabs>
          <w:tab w:pos="3001" w:val="left" w:leader="none"/>
        </w:tabs>
        <w:spacing w:line="240" w:lineRule="auto" w:before="266" w:after="0"/>
        <w:ind w:left="3000" w:right="0" w:hanging="500"/>
        <w:jc w:val="both"/>
        <w:rPr>
          <w:sz w:val="28"/>
        </w:rPr>
      </w:pPr>
      <w:r>
        <w:rPr>
          <w:spacing w:val="-3"/>
          <w:sz w:val="28"/>
        </w:rPr>
        <w:t>管理数据访问视图与权限；</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监控用户身份认证和访问行为；</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定义数据安全强度，划分信息等级；</w:t>
      </w:r>
    </w:p>
    <w:p>
      <w:pPr>
        <w:pStyle w:val="ListParagraph"/>
        <w:numPr>
          <w:ilvl w:val="1"/>
          <w:numId w:val="9"/>
        </w:numPr>
        <w:tabs>
          <w:tab w:pos="3001" w:val="left" w:leader="none"/>
        </w:tabs>
        <w:spacing w:line="240" w:lineRule="auto" w:before="265" w:after="0"/>
        <w:ind w:left="3000" w:right="0" w:hanging="500"/>
        <w:jc w:val="both"/>
        <w:rPr>
          <w:sz w:val="28"/>
        </w:rPr>
      </w:pPr>
      <w:r>
        <w:rPr>
          <w:spacing w:val="-3"/>
          <w:sz w:val="28"/>
        </w:rPr>
        <w:t>部署数据安全防控系统或工具；</w:t>
      </w:r>
    </w:p>
    <w:p>
      <w:pPr>
        <w:pStyle w:val="BodyText"/>
        <w:spacing w:before="1"/>
        <w:rPr>
          <w:sz w:val="16"/>
        </w:rPr>
      </w:pPr>
    </w:p>
    <w:p>
      <w:pPr>
        <w:spacing w:before="92"/>
        <w:ind w:left="1329" w:right="1325" w:firstLine="0"/>
        <w:jc w:val="center"/>
        <w:rPr>
          <w:rFonts w:ascii="Times New Roman"/>
          <w:sz w:val="18"/>
        </w:rPr>
      </w:pPr>
      <w:r>
        <w:rPr>
          <w:rFonts w:ascii="Times New Roman"/>
          <w:spacing w:val="-5"/>
          <w:sz w:val="18"/>
        </w:rPr>
        <w:t>19</w:t>
      </w:r>
    </w:p>
    <w:p>
      <w:pPr>
        <w:spacing w:after="0"/>
        <w:jc w:val="center"/>
        <w:rPr>
          <w:rFonts w:ascii="Times New Roman"/>
          <w:sz w:val="18"/>
        </w:rPr>
        <w:sectPr>
          <w:headerReference w:type="default" r:id="rId30"/>
          <w:pgSz w:w="11910" w:h="16840"/>
          <w:pgMar w:header="877" w:footer="0" w:top="1100" w:bottom="280" w:left="480" w:right="480"/>
        </w:sectPr>
      </w:pPr>
    </w:p>
    <w:p>
      <w:pPr>
        <w:pStyle w:val="BodyText"/>
        <w:rPr>
          <w:rFonts w:ascii="Times New Roman"/>
          <w:sz w:val="20"/>
        </w:rPr>
      </w:pPr>
    </w:p>
    <w:p>
      <w:pPr>
        <w:pStyle w:val="ListParagraph"/>
        <w:numPr>
          <w:ilvl w:val="1"/>
          <w:numId w:val="9"/>
        </w:numPr>
        <w:tabs>
          <w:tab w:pos="3001" w:val="left" w:leader="none"/>
        </w:tabs>
        <w:spacing w:line="240" w:lineRule="auto" w:before="225" w:after="0"/>
        <w:ind w:left="3000" w:right="0" w:hanging="500"/>
        <w:jc w:val="both"/>
        <w:rPr>
          <w:sz w:val="28"/>
        </w:rPr>
      </w:pPr>
      <w:r>
        <w:rPr>
          <w:spacing w:val="-4"/>
          <w:sz w:val="28"/>
        </w:rPr>
        <w:t>审计数据安全。</w:t>
      </w:r>
    </w:p>
    <w:p>
      <w:pPr>
        <w:pStyle w:val="BodyText"/>
        <w:spacing w:line="417" w:lineRule="auto" w:before="265"/>
        <w:ind w:left="1320" w:right="1313" w:firstLine="559"/>
        <w:jc w:val="both"/>
      </w:pPr>
      <w:r>
        <w:rPr>
          <w:spacing w:val="-6"/>
        </w:rPr>
        <w:t>数据安全管理的目标是建立完善的体系化的安全策略措施，全方</w:t>
      </w:r>
      <w:r>
        <w:rPr>
          <w:spacing w:val="-2"/>
        </w:rPr>
        <w:t>位进行安全管控，通过多种手段确保数据资产在</w:t>
      </w:r>
      <w:r>
        <w:rPr>
          <w:rFonts w:ascii="Times New Roman" w:hAnsi="Times New Roman" w:eastAsia="Times New Roman"/>
          <w:spacing w:val="-2"/>
        </w:rPr>
        <w:t>“</w:t>
      </w:r>
      <w:r>
        <w:rPr>
          <w:spacing w:val="-2"/>
        </w:rPr>
        <w:t>存、管、用</w:t>
      </w:r>
      <w:r>
        <w:rPr>
          <w:rFonts w:ascii="Times New Roman" w:hAnsi="Times New Roman" w:eastAsia="Times New Roman"/>
          <w:spacing w:val="-2"/>
        </w:rPr>
        <w:t>”</w:t>
      </w:r>
      <w:r>
        <w:rPr>
          <w:spacing w:val="-2"/>
        </w:rPr>
        <w:t>等各个</w:t>
      </w:r>
      <w:r>
        <w:rPr>
          <w:spacing w:val="-2"/>
        </w:rPr>
        <w:t>环节中的安全，做到</w:t>
      </w:r>
      <w:r>
        <w:rPr>
          <w:rFonts w:ascii="Times New Roman" w:hAnsi="Times New Roman" w:eastAsia="Times New Roman"/>
          <w:spacing w:val="-2"/>
        </w:rPr>
        <w:t>“</w:t>
      </w:r>
      <w:r>
        <w:rPr>
          <w:spacing w:val="-2"/>
        </w:rPr>
        <w:t>事前可管、事中可控、事后可查</w:t>
      </w:r>
      <w:r>
        <w:rPr>
          <w:rFonts w:ascii="Times New Roman" w:hAnsi="Times New Roman" w:eastAsia="Times New Roman"/>
          <w:spacing w:val="-2"/>
        </w:rPr>
        <w:t>”</w:t>
      </w:r>
      <w:r>
        <w:rPr>
          <w:spacing w:val="-2"/>
        </w:rPr>
        <w:t>。</w:t>
      </w:r>
    </w:p>
    <w:p>
      <w:pPr>
        <w:pStyle w:val="Heading3"/>
        <w:numPr>
          <w:ilvl w:val="0"/>
          <w:numId w:val="9"/>
        </w:numPr>
        <w:tabs>
          <w:tab w:pos="2580" w:val="left" w:leader="none"/>
          <w:tab w:pos="2581" w:val="left" w:leader="none"/>
        </w:tabs>
        <w:spacing w:line="240" w:lineRule="auto" w:before="211" w:after="0"/>
        <w:ind w:left="2580" w:right="0" w:hanging="620"/>
        <w:jc w:val="left"/>
      </w:pPr>
      <w:bookmarkStart w:name="_bookmark27" w:id="28"/>
      <w:bookmarkEnd w:id="28"/>
      <w:r>
        <w:rPr>
          <w:w w:val="95"/>
        </w:rPr>
        <w:t>数</w:t>
      </w:r>
      <w:r>
        <w:rPr>
          <w:w w:val="95"/>
        </w:rPr>
        <w:t>据</w:t>
      </w:r>
      <w:r>
        <w:rPr>
          <w:w w:val="95"/>
        </w:rPr>
        <w:t>价</w:t>
      </w:r>
      <w:r>
        <w:rPr>
          <w:w w:val="95"/>
        </w:rPr>
        <w:t>值</w:t>
      </w:r>
      <w:r>
        <w:rPr>
          <w:w w:val="95"/>
        </w:rPr>
        <w:t>管</w:t>
      </w:r>
      <w:r>
        <w:rPr>
          <w:spacing w:val="-10"/>
          <w:w w:val="95"/>
        </w:rPr>
        <w:t>理</w:t>
      </w:r>
    </w:p>
    <w:p>
      <w:pPr>
        <w:pStyle w:val="BodyText"/>
        <w:spacing w:line="417" w:lineRule="auto" w:before="302"/>
        <w:ind w:left="1320" w:right="1306" w:firstLine="559"/>
      </w:pPr>
      <w:r>
        <w:rPr>
          <w:rFonts w:ascii="黑体" w:eastAsia="黑体"/>
          <w:spacing w:val="-2"/>
        </w:rPr>
        <w:t>数据价值管理</w:t>
      </w:r>
      <w:r>
        <w:rPr>
          <w:spacing w:val="-10"/>
        </w:rPr>
        <w:t>是对数据内在价值的度量，可以从数据成本和数据</w:t>
      </w:r>
      <w:r>
        <w:rPr/>
        <w:t>应用价值两方面来开展。</w:t>
      </w:r>
      <w:r>
        <w:rPr>
          <w:rFonts w:ascii="黑体" w:eastAsia="黑体"/>
        </w:rPr>
        <w:t>数据成本</w:t>
      </w:r>
      <w:r>
        <w:rPr>
          <w:spacing w:val="-1"/>
        </w:rPr>
        <w:t>一般包括采集获取和存储的费用</w:t>
      </w:r>
    </w:p>
    <w:p>
      <w:pPr>
        <w:pStyle w:val="BodyText"/>
        <w:spacing w:line="417" w:lineRule="auto"/>
        <w:ind w:left="1320" w:right="1312"/>
        <w:jc w:val="both"/>
      </w:pPr>
      <w:r>
        <w:rPr/>
        <w:t>（人工费用、</w:t>
      </w:r>
      <w:r>
        <w:rPr>
          <w:rFonts w:ascii="Times New Roman" w:eastAsia="Times New Roman"/>
        </w:rPr>
        <w:t>IT </w:t>
      </w:r>
      <w:r>
        <w:rPr/>
        <w:t>设备等直接费用和间接费用等）和运维费用（业务</w:t>
      </w:r>
      <w:r>
        <w:rPr>
          <w:spacing w:val="-2"/>
        </w:rPr>
        <w:t>操作费、技术操作费等</w:t>
      </w:r>
      <w:r>
        <w:rPr>
          <w:spacing w:val="-142"/>
        </w:rPr>
        <w:t>）</w:t>
      </w:r>
      <w:r>
        <w:rPr>
          <w:spacing w:val="-2"/>
        </w:rPr>
        <w:t>。</w:t>
      </w:r>
      <w:r>
        <w:rPr>
          <w:rFonts w:ascii="黑体" w:eastAsia="黑体"/>
          <w:spacing w:val="-2"/>
        </w:rPr>
        <w:t>数据应用价值</w:t>
      </w:r>
      <w:r>
        <w:rPr>
          <w:spacing w:val="-2"/>
        </w:rPr>
        <w:t>主要考虑数据资产的分类、</w:t>
      </w:r>
      <w:r>
        <w:rPr>
          <w:spacing w:val="-2"/>
        </w:rPr>
        <w:t>使用频次、使用对象、使用效果和共享流通等因素。</w:t>
      </w:r>
    </w:p>
    <w:p>
      <w:pPr>
        <w:pStyle w:val="BodyText"/>
        <w:spacing w:line="417" w:lineRule="auto"/>
        <w:ind w:left="1320" w:right="1313" w:firstLine="559"/>
        <w:jc w:val="both"/>
      </w:pPr>
      <w:r>
        <w:rPr>
          <w:spacing w:val="-4"/>
        </w:rPr>
        <w:t>当前，对于数据资产评估的研究还处于早期阶段，评估方法手段</w:t>
      </w:r>
      <w:r>
        <w:rPr>
          <w:spacing w:val="-4"/>
        </w:rPr>
        <w:t>还不成熟。可能的方法包括市场法、成本法和收益法三种，三种方法</w:t>
      </w:r>
      <w:r>
        <w:rPr/>
        <w:t>的优缺点如</w:t>
      </w:r>
      <w:hyperlink w:history="true" w:anchor="_bookmark28">
        <w:r>
          <w:rPr/>
          <w:t>表 </w:t>
        </w:r>
        <w:r>
          <w:rPr>
            <w:rFonts w:ascii="Times New Roman" w:eastAsia="Times New Roman"/>
          </w:rPr>
          <w:t>1</w:t>
        </w:r>
      </w:hyperlink>
      <w:r>
        <w:rPr>
          <w:rFonts w:ascii="Times New Roman" w:eastAsia="Times New Roman"/>
          <w:spacing w:val="71"/>
        </w:rPr>
        <w:t> </w:t>
      </w:r>
      <w:r>
        <w:rPr/>
        <w:t>所示。以收益法为例，将企业数据资产未来可能产</w:t>
      </w:r>
      <w:r>
        <w:rPr>
          <w:spacing w:val="-9"/>
        </w:rPr>
        <w:t>生的收益折现为现金流进行计算。对数据资产价值的估算可以帮助企</w:t>
      </w:r>
      <w:r>
        <w:rPr>
          <w:spacing w:val="-2"/>
        </w:rPr>
        <w:t>业更准确的掌握信息化投资收益，也是数据交易流通的前提之一。</w:t>
      </w:r>
    </w:p>
    <w:p>
      <w:pPr>
        <w:spacing w:line="256" w:lineRule="exact" w:before="0"/>
        <w:ind w:left="1329" w:right="1155" w:firstLine="0"/>
        <w:jc w:val="center"/>
        <w:rPr>
          <w:sz w:val="24"/>
        </w:rPr>
      </w:pPr>
      <w:bookmarkStart w:name="_bookmark28" w:id="29"/>
      <w:bookmarkEnd w:id="29"/>
      <w:r>
        <w:rPr/>
      </w:r>
      <w:r>
        <w:rPr>
          <w:spacing w:val="7"/>
          <w:sz w:val="24"/>
        </w:rPr>
        <w:t>表 </w:t>
      </w:r>
      <w:r>
        <w:rPr>
          <w:rFonts w:ascii="Times New Roman" w:eastAsia="Times New Roman"/>
          <w:sz w:val="24"/>
        </w:rPr>
        <w:t>1</w:t>
      </w:r>
      <w:r>
        <w:rPr>
          <w:rFonts w:ascii="Times New Roman" w:eastAsia="Times New Roman"/>
          <w:spacing w:val="64"/>
          <w:sz w:val="24"/>
        </w:rPr>
        <w:t> </w:t>
      </w:r>
      <w:r>
        <w:rPr>
          <w:spacing w:val="16"/>
          <w:sz w:val="24"/>
        </w:rPr>
        <w:t>数据资产价值评估典型方法比较</w:t>
      </w:r>
    </w:p>
    <w:p>
      <w:pPr>
        <w:pStyle w:val="BodyText"/>
        <w:spacing w:before="8" w:after="1"/>
        <w:rPr>
          <w:sz w:val="21"/>
        </w:rPr>
      </w:pPr>
    </w:p>
    <w:tbl>
      <w:tblPr>
        <w:tblW w:w="0" w:type="auto"/>
        <w:jc w:val="left"/>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2410"/>
        <w:gridCol w:w="2244"/>
        <w:gridCol w:w="2191"/>
      </w:tblGrid>
      <w:tr>
        <w:trPr>
          <w:trHeight w:val="311" w:hRule="atLeast"/>
        </w:trPr>
        <w:tc>
          <w:tcPr>
            <w:tcW w:w="1267" w:type="dxa"/>
          </w:tcPr>
          <w:p>
            <w:pPr>
              <w:pStyle w:val="TableParagraph"/>
              <w:rPr>
                <w:rFonts w:ascii="Times New Roman"/>
                <w:sz w:val="22"/>
              </w:rPr>
            </w:pPr>
          </w:p>
        </w:tc>
        <w:tc>
          <w:tcPr>
            <w:tcW w:w="2410" w:type="dxa"/>
          </w:tcPr>
          <w:p>
            <w:pPr>
              <w:pStyle w:val="TableParagraph"/>
              <w:spacing w:before="22"/>
              <w:ind w:left="147" w:right="142"/>
              <w:jc w:val="center"/>
              <w:rPr>
                <w:b/>
                <w:sz w:val="21"/>
              </w:rPr>
            </w:pPr>
            <w:r>
              <w:rPr>
                <w:b/>
                <w:spacing w:val="-4"/>
                <w:sz w:val="21"/>
              </w:rPr>
              <w:t>成本法</w:t>
            </w:r>
          </w:p>
        </w:tc>
        <w:tc>
          <w:tcPr>
            <w:tcW w:w="2244" w:type="dxa"/>
          </w:tcPr>
          <w:p>
            <w:pPr>
              <w:pStyle w:val="TableParagraph"/>
              <w:spacing w:before="22"/>
              <w:ind w:left="98" w:right="91"/>
              <w:jc w:val="center"/>
              <w:rPr>
                <w:b/>
                <w:sz w:val="21"/>
              </w:rPr>
            </w:pPr>
            <w:r>
              <w:rPr>
                <w:b/>
                <w:spacing w:val="-4"/>
                <w:sz w:val="21"/>
              </w:rPr>
              <w:t>收益法</w:t>
            </w:r>
          </w:p>
        </w:tc>
        <w:tc>
          <w:tcPr>
            <w:tcW w:w="2191" w:type="dxa"/>
          </w:tcPr>
          <w:p>
            <w:pPr>
              <w:pStyle w:val="TableParagraph"/>
              <w:spacing w:before="22"/>
              <w:ind w:left="141" w:right="133"/>
              <w:jc w:val="center"/>
              <w:rPr>
                <w:b/>
                <w:sz w:val="21"/>
              </w:rPr>
            </w:pPr>
            <w:r>
              <w:rPr>
                <w:b/>
                <w:spacing w:val="-4"/>
                <w:sz w:val="21"/>
              </w:rPr>
              <w:t>市场法</w:t>
            </w:r>
          </w:p>
        </w:tc>
      </w:tr>
      <w:tr>
        <w:trPr>
          <w:trHeight w:val="626" w:hRule="atLeast"/>
        </w:trPr>
        <w:tc>
          <w:tcPr>
            <w:tcW w:w="1267" w:type="dxa"/>
          </w:tcPr>
          <w:p>
            <w:pPr>
              <w:pStyle w:val="TableParagraph"/>
              <w:spacing w:before="25"/>
              <w:ind w:left="197" w:right="188"/>
              <w:jc w:val="center"/>
              <w:rPr>
                <w:b/>
                <w:sz w:val="21"/>
              </w:rPr>
            </w:pPr>
            <w:r>
              <w:rPr>
                <w:b/>
                <w:spacing w:val="-5"/>
                <w:sz w:val="21"/>
              </w:rPr>
              <w:t>优点</w:t>
            </w:r>
          </w:p>
        </w:tc>
        <w:tc>
          <w:tcPr>
            <w:tcW w:w="2410" w:type="dxa"/>
          </w:tcPr>
          <w:p>
            <w:pPr>
              <w:pStyle w:val="TableParagraph"/>
              <w:spacing w:before="25"/>
              <w:ind w:left="147" w:right="143"/>
              <w:jc w:val="center"/>
              <w:rPr>
                <w:sz w:val="21"/>
              </w:rPr>
            </w:pPr>
            <w:r>
              <w:rPr>
                <w:spacing w:val="-4"/>
                <w:sz w:val="21"/>
              </w:rPr>
              <w:t>容易把握和操作</w:t>
            </w:r>
          </w:p>
        </w:tc>
        <w:tc>
          <w:tcPr>
            <w:tcW w:w="2244" w:type="dxa"/>
          </w:tcPr>
          <w:p>
            <w:pPr>
              <w:pStyle w:val="TableParagraph"/>
              <w:spacing w:before="25"/>
              <w:ind w:left="103" w:right="91"/>
              <w:jc w:val="center"/>
              <w:rPr>
                <w:sz w:val="21"/>
              </w:rPr>
            </w:pPr>
            <w:r>
              <w:rPr>
                <w:spacing w:val="-10"/>
                <w:sz w:val="21"/>
              </w:rPr>
              <w:t>能真实反映价值，易被</w:t>
            </w:r>
          </w:p>
          <w:p>
            <w:pPr>
              <w:pStyle w:val="TableParagraph"/>
              <w:spacing w:before="43"/>
              <w:ind w:left="101" w:right="91"/>
              <w:jc w:val="center"/>
              <w:rPr>
                <w:sz w:val="21"/>
              </w:rPr>
            </w:pPr>
            <w:r>
              <w:rPr>
                <w:spacing w:val="-4"/>
                <w:sz w:val="21"/>
              </w:rPr>
              <w:t>双方接受</w:t>
            </w:r>
          </w:p>
        </w:tc>
        <w:tc>
          <w:tcPr>
            <w:tcW w:w="2191" w:type="dxa"/>
          </w:tcPr>
          <w:p>
            <w:pPr>
              <w:pStyle w:val="TableParagraph"/>
              <w:spacing w:before="25"/>
              <w:ind w:left="149"/>
              <w:rPr>
                <w:sz w:val="21"/>
              </w:rPr>
            </w:pPr>
            <w:r>
              <w:rPr>
                <w:spacing w:val="-3"/>
                <w:sz w:val="21"/>
              </w:rPr>
              <w:t>能反映资产目前市场</w:t>
            </w:r>
          </w:p>
          <w:p>
            <w:pPr>
              <w:pStyle w:val="TableParagraph"/>
              <w:spacing w:before="43"/>
              <w:ind w:left="149"/>
              <w:rPr>
                <w:sz w:val="21"/>
              </w:rPr>
            </w:pPr>
            <w:r>
              <w:rPr>
                <w:spacing w:val="-3"/>
                <w:sz w:val="21"/>
              </w:rPr>
              <w:t>状况，易被双方接受</w:t>
            </w:r>
          </w:p>
        </w:tc>
      </w:tr>
      <w:tr>
        <w:trPr>
          <w:trHeight w:val="623" w:hRule="atLeast"/>
        </w:trPr>
        <w:tc>
          <w:tcPr>
            <w:tcW w:w="1267" w:type="dxa"/>
          </w:tcPr>
          <w:p>
            <w:pPr>
              <w:pStyle w:val="TableParagraph"/>
              <w:spacing w:before="22"/>
              <w:ind w:left="197" w:right="188"/>
              <w:jc w:val="center"/>
              <w:rPr>
                <w:b/>
                <w:sz w:val="21"/>
              </w:rPr>
            </w:pPr>
            <w:r>
              <w:rPr>
                <w:b/>
                <w:spacing w:val="-5"/>
                <w:sz w:val="21"/>
              </w:rPr>
              <w:t>缺点</w:t>
            </w:r>
          </w:p>
        </w:tc>
        <w:tc>
          <w:tcPr>
            <w:tcW w:w="2410" w:type="dxa"/>
          </w:tcPr>
          <w:p>
            <w:pPr>
              <w:pStyle w:val="TableParagraph"/>
              <w:spacing w:before="22"/>
              <w:ind w:left="147" w:right="143"/>
              <w:jc w:val="center"/>
              <w:rPr>
                <w:sz w:val="21"/>
              </w:rPr>
            </w:pPr>
            <w:r>
              <w:rPr>
                <w:spacing w:val="-3"/>
                <w:sz w:val="21"/>
              </w:rPr>
              <w:t>对价值的估算往往偏低</w:t>
            </w:r>
          </w:p>
        </w:tc>
        <w:tc>
          <w:tcPr>
            <w:tcW w:w="2244" w:type="dxa"/>
          </w:tcPr>
          <w:p>
            <w:pPr>
              <w:pStyle w:val="TableParagraph"/>
              <w:spacing w:before="22"/>
              <w:ind w:left="101" w:right="91"/>
              <w:jc w:val="center"/>
              <w:rPr>
                <w:sz w:val="21"/>
              </w:rPr>
            </w:pPr>
            <w:r>
              <w:rPr>
                <w:spacing w:val="-3"/>
                <w:sz w:val="21"/>
              </w:rPr>
              <w:t>预测难度大、偏主观</w:t>
            </w:r>
          </w:p>
        </w:tc>
        <w:tc>
          <w:tcPr>
            <w:tcW w:w="2191" w:type="dxa"/>
          </w:tcPr>
          <w:p>
            <w:pPr>
              <w:pStyle w:val="TableParagraph"/>
              <w:spacing w:before="22"/>
              <w:ind w:left="144" w:right="133"/>
              <w:jc w:val="center"/>
              <w:rPr>
                <w:sz w:val="21"/>
              </w:rPr>
            </w:pPr>
            <w:r>
              <w:rPr>
                <w:spacing w:val="-3"/>
                <w:sz w:val="21"/>
              </w:rPr>
              <w:t>对市场环境要求高、</w:t>
            </w:r>
          </w:p>
          <w:p>
            <w:pPr>
              <w:pStyle w:val="TableParagraph"/>
              <w:spacing w:before="43"/>
              <w:ind w:left="144" w:right="133"/>
              <w:jc w:val="center"/>
              <w:rPr>
                <w:sz w:val="21"/>
              </w:rPr>
            </w:pPr>
            <w:r>
              <w:rPr>
                <w:spacing w:val="-4"/>
                <w:sz w:val="21"/>
              </w:rPr>
              <w:t>评估难度大</w:t>
            </w:r>
          </w:p>
        </w:tc>
      </w:tr>
      <w:tr>
        <w:trPr>
          <w:trHeight w:val="623" w:hRule="atLeast"/>
        </w:trPr>
        <w:tc>
          <w:tcPr>
            <w:tcW w:w="1267" w:type="dxa"/>
          </w:tcPr>
          <w:p>
            <w:pPr>
              <w:pStyle w:val="TableParagraph"/>
              <w:spacing w:before="22"/>
              <w:ind w:left="197" w:right="188"/>
              <w:jc w:val="center"/>
              <w:rPr>
                <w:b/>
                <w:sz w:val="21"/>
              </w:rPr>
            </w:pPr>
            <w:r>
              <w:rPr>
                <w:b/>
                <w:spacing w:val="-3"/>
                <w:sz w:val="21"/>
              </w:rPr>
              <w:t>适用场景</w:t>
            </w:r>
          </w:p>
        </w:tc>
        <w:tc>
          <w:tcPr>
            <w:tcW w:w="2410" w:type="dxa"/>
          </w:tcPr>
          <w:p>
            <w:pPr>
              <w:pStyle w:val="TableParagraph"/>
              <w:spacing w:before="22"/>
              <w:ind w:left="147" w:right="143"/>
              <w:jc w:val="center"/>
              <w:rPr>
                <w:sz w:val="21"/>
              </w:rPr>
            </w:pPr>
            <w:r>
              <w:rPr>
                <w:spacing w:val="-3"/>
                <w:sz w:val="21"/>
              </w:rPr>
              <w:t>第三方机构，不以交易</w:t>
            </w:r>
          </w:p>
          <w:p>
            <w:pPr>
              <w:pStyle w:val="TableParagraph"/>
              <w:spacing w:before="43"/>
              <w:ind w:left="147" w:right="140"/>
              <w:jc w:val="center"/>
              <w:rPr>
                <w:sz w:val="21"/>
              </w:rPr>
            </w:pPr>
            <w:r>
              <w:rPr>
                <w:spacing w:val="-3"/>
                <w:sz w:val="21"/>
              </w:rPr>
              <w:t>为目的，如政务数据</w:t>
            </w:r>
          </w:p>
        </w:tc>
        <w:tc>
          <w:tcPr>
            <w:tcW w:w="2244" w:type="dxa"/>
          </w:tcPr>
          <w:p>
            <w:pPr>
              <w:pStyle w:val="TableParagraph"/>
              <w:spacing w:before="22"/>
              <w:ind w:left="103" w:right="91"/>
              <w:jc w:val="center"/>
              <w:rPr>
                <w:sz w:val="21"/>
              </w:rPr>
            </w:pPr>
            <w:r>
              <w:rPr>
                <w:spacing w:val="-4"/>
                <w:sz w:val="21"/>
              </w:rPr>
              <w:t>适合于数据买方</w:t>
            </w:r>
          </w:p>
        </w:tc>
        <w:tc>
          <w:tcPr>
            <w:tcW w:w="2191" w:type="dxa"/>
          </w:tcPr>
          <w:p>
            <w:pPr>
              <w:pStyle w:val="TableParagraph"/>
              <w:spacing w:before="22"/>
              <w:ind w:left="144" w:right="131"/>
              <w:jc w:val="center"/>
              <w:rPr>
                <w:sz w:val="21"/>
              </w:rPr>
            </w:pPr>
            <w:r>
              <w:rPr>
                <w:spacing w:val="-5"/>
                <w:sz w:val="21"/>
              </w:rPr>
              <w:t>较少</w:t>
            </w:r>
          </w:p>
        </w:tc>
      </w:tr>
    </w:tbl>
    <w:p>
      <w:pPr>
        <w:pStyle w:val="BodyText"/>
        <w:spacing w:before="135"/>
        <w:ind w:left="1879"/>
      </w:pPr>
      <w:r>
        <w:rPr>
          <w:spacing w:val="-3"/>
        </w:rPr>
        <w:t>进行数据价值管理的关键性活动包括：</w:t>
      </w:r>
    </w:p>
    <w:p>
      <w:pPr>
        <w:pStyle w:val="BodyText"/>
        <w:spacing w:before="8"/>
        <w:rPr>
          <w:sz w:val="20"/>
        </w:rPr>
      </w:pPr>
    </w:p>
    <w:p>
      <w:pPr>
        <w:pStyle w:val="ListParagraph"/>
        <w:numPr>
          <w:ilvl w:val="1"/>
          <w:numId w:val="9"/>
        </w:numPr>
        <w:tabs>
          <w:tab w:pos="3001" w:val="left" w:leader="none"/>
        </w:tabs>
        <w:spacing w:line="240" w:lineRule="auto" w:before="0" w:after="0"/>
        <w:ind w:left="3000" w:right="0" w:hanging="500"/>
        <w:jc w:val="both"/>
        <w:rPr>
          <w:sz w:val="28"/>
        </w:rPr>
      </w:pPr>
      <w:r>
        <w:rPr>
          <w:spacing w:val="-3"/>
          <w:sz w:val="28"/>
        </w:rPr>
        <w:t>确定企业数据集成度水平；</w:t>
      </w:r>
    </w:p>
    <w:p>
      <w:pPr>
        <w:pStyle w:val="BodyText"/>
        <w:spacing w:before="1"/>
        <w:rPr>
          <w:sz w:val="16"/>
        </w:rPr>
      </w:pPr>
    </w:p>
    <w:p>
      <w:pPr>
        <w:spacing w:before="92"/>
        <w:ind w:left="1329" w:right="1325" w:firstLine="0"/>
        <w:jc w:val="center"/>
        <w:rPr>
          <w:rFonts w:ascii="Times New Roman"/>
          <w:sz w:val="18"/>
        </w:rPr>
      </w:pPr>
      <w:r>
        <w:rPr>
          <w:rFonts w:ascii="Times New Roman"/>
          <w:spacing w:val="-5"/>
          <w:sz w:val="18"/>
        </w:rPr>
        <w:t>20</w:t>
      </w:r>
    </w:p>
    <w:p>
      <w:pPr>
        <w:spacing w:after="0"/>
        <w:jc w:val="center"/>
        <w:rPr>
          <w:rFonts w:ascii="Times New Roman"/>
          <w:sz w:val="18"/>
        </w:rPr>
        <w:sectPr>
          <w:headerReference w:type="default" r:id="rId31"/>
          <w:pgSz w:w="11910" w:h="16840"/>
          <w:pgMar w:header="877" w:footer="0" w:top="1100" w:bottom="280" w:left="480" w:right="480"/>
        </w:sectPr>
      </w:pPr>
    </w:p>
    <w:p>
      <w:pPr>
        <w:pStyle w:val="BodyText"/>
        <w:rPr>
          <w:rFonts w:ascii="Times New Roman"/>
          <w:sz w:val="20"/>
        </w:rPr>
      </w:pPr>
    </w:p>
    <w:p>
      <w:pPr>
        <w:pStyle w:val="ListParagraph"/>
        <w:numPr>
          <w:ilvl w:val="1"/>
          <w:numId w:val="9"/>
        </w:numPr>
        <w:tabs>
          <w:tab w:pos="3000" w:val="left" w:leader="none"/>
          <w:tab w:pos="3001" w:val="left" w:leader="none"/>
        </w:tabs>
        <w:spacing w:line="240" w:lineRule="auto" w:before="225" w:after="0"/>
        <w:ind w:left="3000" w:right="0" w:hanging="500"/>
        <w:jc w:val="left"/>
        <w:rPr>
          <w:sz w:val="28"/>
        </w:rPr>
      </w:pPr>
      <w:r>
        <w:rPr>
          <w:spacing w:val="-3"/>
          <w:sz w:val="28"/>
        </w:rPr>
        <w:t>确定企业数据的应用场景；</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计算数据在不同应用场景下的收益；</w:t>
      </w:r>
    </w:p>
    <w:p>
      <w:pPr>
        <w:pStyle w:val="ListParagraph"/>
        <w:numPr>
          <w:ilvl w:val="1"/>
          <w:numId w:val="9"/>
        </w:numPr>
        <w:tabs>
          <w:tab w:pos="3000" w:val="left" w:leader="none"/>
          <w:tab w:pos="3001" w:val="left" w:leader="none"/>
        </w:tabs>
        <w:spacing w:line="240" w:lineRule="auto" w:before="265" w:after="0"/>
        <w:ind w:left="3000" w:right="0" w:hanging="500"/>
        <w:jc w:val="left"/>
        <w:rPr>
          <w:sz w:val="28"/>
        </w:rPr>
      </w:pPr>
      <w:r>
        <w:rPr>
          <w:spacing w:val="-3"/>
          <w:sz w:val="28"/>
        </w:rPr>
        <w:t>计算企业数据资产的总体价值。</w:t>
      </w:r>
    </w:p>
    <w:p>
      <w:pPr>
        <w:pStyle w:val="BodyText"/>
        <w:spacing w:before="3"/>
        <w:rPr>
          <w:sz w:val="37"/>
        </w:rPr>
      </w:pPr>
    </w:p>
    <w:p>
      <w:pPr>
        <w:pStyle w:val="Heading3"/>
        <w:numPr>
          <w:ilvl w:val="0"/>
          <w:numId w:val="9"/>
        </w:numPr>
        <w:tabs>
          <w:tab w:pos="2580" w:val="left" w:leader="none"/>
          <w:tab w:pos="2581" w:val="left" w:leader="none"/>
        </w:tabs>
        <w:spacing w:line="240" w:lineRule="auto" w:before="0" w:after="0"/>
        <w:ind w:left="2580" w:right="0" w:hanging="620"/>
        <w:jc w:val="left"/>
      </w:pPr>
      <w:bookmarkStart w:name="_bookmark29" w:id="30"/>
      <w:bookmarkEnd w:id="30"/>
      <w:r>
        <w:rPr>
          <w:w w:val="95"/>
        </w:rPr>
        <w:t>数</w:t>
      </w:r>
      <w:r>
        <w:rPr>
          <w:w w:val="95"/>
        </w:rPr>
        <w:t>据</w:t>
      </w:r>
      <w:r>
        <w:rPr>
          <w:w w:val="95"/>
        </w:rPr>
        <w:t>共</w:t>
      </w:r>
      <w:r>
        <w:rPr>
          <w:w w:val="95"/>
        </w:rPr>
        <w:t>享</w:t>
      </w:r>
      <w:r>
        <w:rPr>
          <w:w w:val="95"/>
        </w:rPr>
        <w:t>管</w:t>
      </w:r>
      <w:r>
        <w:rPr>
          <w:spacing w:val="-10"/>
          <w:w w:val="95"/>
        </w:rPr>
        <w:t>理</w:t>
      </w:r>
    </w:p>
    <w:p>
      <w:pPr>
        <w:pStyle w:val="BodyText"/>
        <w:spacing w:line="417" w:lineRule="auto" w:before="302"/>
        <w:ind w:left="1320" w:right="1315" w:firstLine="561"/>
        <w:jc w:val="both"/>
      </w:pPr>
      <w:r>
        <w:rPr>
          <w:b/>
          <w:spacing w:val="-2"/>
        </w:rPr>
        <w:t>数</w:t>
      </w:r>
      <w:r>
        <w:rPr>
          <w:b/>
          <w:spacing w:val="-2"/>
        </w:rPr>
        <w:t>据</w:t>
      </w:r>
      <w:r>
        <w:rPr>
          <w:b/>
          <w:spacing w:val="-2"/>
        </w:rPr>
        <w:t>共</w:t>
      </w:r>
      <w:r>
        <w:rPr>
          <w:b/>
          <w:spacing w:val="-2"/>
        </w:rPr>
        <w:t>享</w:t>
      </w:r>
      <w:r>
        <w:rPr>
          <w:b/>
          <w:spacing w:val="-2"/>
        </w:rPr>
        <w:t>管</w:t>
      </w:r>
      <w:r>
        <w:rPr>
          <w:b/>
          <w:spacing w:val="-2"/>
        </w:rPr>
        <w:t>理</w:t>
      </w:r>
      <w:r>
        <w:rPr>
          <w:spacing w:val="-10"/>
        </w:rPr>
        <w:t>主要是指开展数据共享和交换，实现数据外部价值</w:t>
      </w:r>
      <w:r>
        <w:rPr>
          <w:spacing w:val="-12"/>
        </w:rPr>
        <w:t>的一系列活动。数据共享管理是指数据的所有者通过对数据的建模分</w:t>
      </w:r>
      <w:r>
        <w:rPr>
          <w:spacing w:val="-13"/>
        </w:rPr>
        <w:t>析挖掘，把隐藏在海量数据中的符合共享开放层级的信息作为应用商</w:t>
      </w:r>
      <w:r>
        <w:rPr>
          <w:spacing w:val="-4"/>
        </w:rPr>
        <w:t>品，以合规安全的形式完成共享交换或开放发布，使得数据具有流通</w:t>
      </w:r>
      <w:r>
        <w:rPr>
          <w:spacing w:val="-4"/>
        </w:rPr>
        <w:t>属性，能方便供数据消费者使用。目前来看，拥有海量数据是企业开</w:t>
      </w:r>
      <w:r>
        <w:rPr>
          <w:spacing w:val="-6"/>
        </w:rPr>
        <w:t>展数据资产运营的前提条件，在数据流通环境下，数据资产运营流通</w:t>
      </w:r>
      <w:r>
        <w:rPr>
          <w:spacing w:val="-6"/>
        </w:rPr>
        <w:t>职能的服务对象包括了数据提供者、数据消费者、数据服务者和数据</w:t>
      </w:r>
      <w:r>
        <w:rPr>
          <w:spacing w:val="-2"/>
        </w:rPr>
        <w:t>运营者四类角色。</w:t>
      </w:r>
    </w:p>
    <w:p>
      <w:pPr>
        <w:pStyle w:val="BodyText"/>
        <w:spacing w:before="31"/>
        <w:ind w:left="1879"/>
      </w:pPr>
      <w:r>
        <w:rPr>
          <w:spacing w:val="-3"/>
        </w:rPr>
        <w:t>数据共享管理的关键活动包括：</w:t>
      </w:r>
    </w:p>
    <w:p>
      <w:pPr>
        <w:pStyle w:val="BodyText"/>
        <w:spacing w:before="1"/>
        <w:rPr>
          <w:sz w:val="23"/>
        </w:rPr>
      </w:pPr>
    </w:p>
    <w:p>
      <w:pPr>
        <w:pStyle w:val="ListParagraph"/>
        <w:numPr>
          <w:ilvl w:val="1"/>
          <w:numId w:val="9"/>
        </w:numPr>
        <w:tabs>
          <w:tab w:pos="3000" w:val="left" w:leader="none"/>
          <w:tab w:pos="3001" w:val="left" w:leader="none"/>
        </w:tabs>
        <w:spacing w:line="240" w:lineRule="auto" w:before="0" w:after="0"/>
        <w:ind w:left="3000" w:right="0" w:hanging="500"/>
        <w:jc w:val="left"/>
        <w:rPr>
          <w:sz w:val="28"/>
        </w:rPr>
      </w:pPr>
      <w:r>
        <w:rPr>
          <w:spacing w:val="-3"/>
          <w:sz w:val="28"/>
        </w:rPr>
        <w:t>定义数据资产运营流通监控指标；</w:t>
      </w:r>
    </w:p>
    <w:p>
      <w:pPr>
        <w:pStyle w:val="BodyText"/>
        <w:spacing w:before="2"/>
        <w:rPr>
          <w:sz w:val="23"/>
        </w:rPr>
      </w:pPr>
    </w:p>
    <w:p>
      <w:pPr>
        <w:pStyle w:val="ListParagraph"/>
        <w:numPr>
          <w:ilvl w:val="1"/>
          <w:numId w:val="9"/>
        </w:numPr>
        <w:tabs>
          <w:tab w:pos="3000" w:val="left" w:leader="none"/>
          <w:tab w:pos="3001" w:val="left" w:leader="none"/>
        </w:tabs>
        <w:spacing w:line="240" w:lineRule="auto" w:before="0" w:after="0"/>
        <w:ind w:left="3000" w:right="0" w:hanging="500"/>
        <w:jc w:val="left"/>
        <w:rPr>
          <w:sz w:val="28"/>
        </w:rPr>
      </w:pPr>
      <w:r>
        <w:rPr>
          <w:spacing w:val="-3"/>
          <w:sz w:val="28"/>
        </w:rPr>
        <w:t>设计数据资产运营流通管理方案；</w:t>
      </w:r>
    </w:p>
    <w:p>
      <w:pPr>
        <w:pStyle w:val="BodyText"/>
        <w:spacing w:before="2"/>
        <w:rPr>
          <w:sz w:val="23"/>
        </w:rPr>
      </w:pPr>
    </w:p>
    <w:p>
      <w:pPr>
        <w:pStyle w:val="ListParagraph"/>
        <w:numPr>
          <w:ilvl w:val="1"/>
          <w:numId w:val="9"/>
        </w:numPr>
        <w:tabs>
          <w:tab w:pos="3000" w:val="left" w:leader="none"/>
          <w:tab w:pos="3001" w:val="left" w:leader="none"/>
        </w:tabs>
        <w:spacing w:line="240" w:lineRule="auto" w:before="0" w:after="0"/>
        <w:ind w:left="3000" w:right="0" w:hanging="500"/>
        <w:jc w:val="left"/>
        <w:rPr>
          <w:sz w:val="28"/>
        </w:rPr>
      </w:pPr>
      <w:r>
        <w:rPr>
          <w:spacing w:val="-3"/>
          <w:sz w:val="28"/>
        </w:rPr>
        <w:t>制定数据资产运营流通管理办法和实施流程要求；</w:t>
      </w:r>
    </w:p>
    <w:p>
      <w:pPr>
        <w:pStyle w:val="BodyText"/>
        <w:spacing w:before="1"/>
        <w:rPr>
          <w:sz w:val="23"/>
        </w:rPr>
      </w:pPr>
    </w:p>
    <w:p>
      <w:pPr>
        <w:pStyle w:val="ListParagraph"/>
        <w:numPr>
          <w:ilvl w:val="1"/>
          <w:numId w:val="9"/>
        </w:numPr>
        <w:tabs>
          <w:tab w:pos="3000" w:val="left" w:leader="none"/>
          <w:tab w:pos="3001" w:val="left" w:leader="none"/>
        </w:tabs>
        <w:spacing w:line="240" w:lineRule="auto" w:before="1" w:after="0"/>
        <w:ind w:left="3000" w:right="0" w:hanging="500"/>
        <w:jc w:val="left"/>
        <w:rPr>
          <w:sz w:val="28"/>
        </w:rPr>
      </w:pPr>
      <w:r>
        <w:rPr>
          <w:spacing w:val="-3"/>
          <w:sz w:val="28"/>
        </w:rPr>
        <w:t>监控数据资产运营指标；</w:t>
      </w:r>
    </w:p>
    <w:p>
      <w:pPr>
        <w:pStyle w:val="BodyText"/>
        <w:spacing w:before="12"/>
        <w:rPr>
          <w:sz w:val="22"/>
        </w:rPr>
      </w:pPr>
    </w:p>
    <w:p>
      <w:pPr>
        <w:pStyle w:val="ListParagraph"/>
        <w:numPr>
          <w:ilvl w:val="1"/>
          <w:numId w:val="9"/>
        </w:numPr>
        <w:tabs>
          <w:tab w:pos="3000" w:val="left" w:leader="none"/>
          <w:tab w:pos="3001" w:val="left" w:leader="none"/>
        </w:tabs>
        <w:spacing w:line="240" w:lineRule="auto" w:before="0" w:after="0"/>
        <w:ind w:left="3000" w:right="0" w:hanging="500"/>
        <w:jc w:val="left"/>
        <w:rPr>
          <w:sz w:val="28"/>
        </w:rPr>
      </w:pPr>
      <w:r>
        <w:rPr>
          <w:spacing w:val="-3"/>
          <w:sz w:val="28"/>
        </w:rPr>
        <w:t>监督落实数据流通等合规性管理要求；</w:t>
      </w:r>
    </w:p>
    <w:p>
      <w:pPr>
        <w:pStyle w:val="BodyText"/>
        <w:spacing w:before="2"/>
        <w:rPr>
          <w:sz w:val="23"/>
        </w:rPr>
      </w:pPr>
    </w:p>
    <w:p>
      <w:pPr>
        <w:pStyle w:val="ListParagraph"/>
        <w:numPr>
          <w:ilvl w:val="1"/>
          <w:numId w:val="9"/>
        </w:numPr>
        <w:tabs>
          <w:tab w:pos="3000" w:val="left" w:leader="none"/>
          <w:tab w:pos="3001" w:val="left" w:leader="none"/>
        </w:tabs>
        <w:spacing w:line="240" w:lineRule="auto" w:before="0" w:after="0"/>
        <w:ind w:left="3000" w:right="0" w:hanging="500"/>
        <w:jc w:val="left"/>
        <w:rPr>
          <w:sz w:val="28"/>
        </w:rPr>
      </w:pPr>
      <w:r>
        <w:rPr>
          <w:spacing w:val="-3"/>
          <w:sz w:val="28"/>
        </w:rPr>
        <w:t>分析运营流通指标，评价运营效果并改进。</w:t>
      </w:r>
    </w:p>
    <w:p>
      <w:pPr>
        <w:pStyle w:val="BodyText"/>
        <w:spacing w:before="2"/>
        <w:rPr>
          <w:sz w:val="23"/>
        </w:rPr>
      </w:pPr>
    </w:p>
    <w:p>
      <w:pPr>
        <w:pStyle w:val="BodyText"/>
        <w:spacing w:line="417" w:lineRule="auto"/>
        <w:ind w:left="1320" w:right="1179" w:firstLine="559"/>
      </w:pPr>
      <w:r>
        <w:rPr>
          <w:spacing w:val="-2"/>
        </w:rPr>
        <w:t>重视数据资产管理、运营、流通可以为企业带来未来经济利益，</w:t>
      </w:r>
      <w:r>
        <w:rPr>
          <w:spacing w:val="-8"/>
        </w:rPr>
        <w:t>同时这也是数据保值增值的重要手段。数据资产运营流通是使数据资</w:t>
      </w:r>
    </w:p>
    <w:p>
      <w:pPr>
        <w:pStyle w:val="BodyText"/>
        <w:spacing w:before="9"/>
        <w:rPr>
          <w:sz w:val="24"/>
        </w:rPr>
      </w:pPr>
    </w:p>
    <w:p>
      <w:pPr>
        <w:spacing w:before="92"/>
        <w:ind w:left="1329" w:right="1325" w:firstLine="0"/>
        <w:jc w:val="center"/>
        <w:rPr>
          <w:rFonts w:ascii="Times New Roman"/>
          <w:sz w:val="18"/>
        </w:rPr>
      </w:pPr>
      <w:r>
        <w:rPr>
          <w:rFonts w:ascii="Times New Roman"/>
          <w:spacing w:val="-5"/>
          <w:sz w:val="18"/>
        </w:rPr>
        <w:t>21</w:t>
      </w:r>
    </w:p>
    <w:p>
      <w:pPr>
        <w:spacing w:after="0"/>
        <w:jc w:val="center"/>
        <w:rPr>
          <w:rFonts w:ascii="Times New Roman"/>
          <w:sz w:val="18"/>
        </w:rPr>
        <w:sectPr>
          <w:headerReference w:type="default" r:id="rId32"/>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5"/>
      </w:pPr>
      <w:r>
        <w:rPr>
          <w:spacing w:val="-2"/>
        </w:rPr>
        <w:t>产流动和发挥价值的核心，它将推动数据价值创造模式的不断创新，</w:t>
      </w:r>
      <w:r>
        <w:rPr>
          <w:spacing w:val="-2"/>
        </w:rPr>
        <w:t>从根本上改变企业管理、社会管理和政府治理的发展趋势。</w:t>
      </w:r>
    </w:p>
    <w:p>
      <w:pPr>
        <w:pStyle w:val="BodyText"/>
        <w:rPr>
          <w:sz w:val="20"/>
        </w:rPr>
      </w:pPr>
    </w:p>
    <w:p>
      <w:pPr>
        <w:pStyle w:val="BodyText"/>
        <w:rPr>
          <w:sz w:val="20"/>
        </w:rPr>
      </w:pPr>
    </w:p>
    <w:p>
      <w:pPr>
        <w:pStyle w:val="BodyText"/>
        <w:spacing w:before="9"/>
        <w:rPr>
          <w:sz w:val="15"/>
        </w:rPr>
      </w:pPr>
      <w:r>
        <w:rPr/>
        <w:drawing>
          <wp:anchor distT="0" distB="0" distL="0" distR="0" allowOverlap="1" layoutInCell="1" locked="0" behindDoc="0" simplePos="0" relativeHeight="13">
            <wp:simplePos x="0" y="0"/>
            <wp:positionH relativeFrom="page">
              <wp:posOffset>1551305</wp:posOffset>
            </wp:positionH>
            <wp:positionV relativeFrom="paragraph">
              <wp:posOffset>143300</wp:posOffset>
            </wp:positionV>
            <wp:extent cx="4419599" cy="2933700"/>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34" cstate="print"/>
                    <a:stretch>
                      <a:fillRect/>
                    </a:stretch>
                  </pic:blipFill>
                  <pic:spPr>
                    <a:xfrm>
                      <a:off x="0" y="0"/>
                      <a:ext cx="4419599" cy="2933700"/>
                    </a:xfrm>
                    <a:prstGeom prst="rect">
                      <a:avLst/>
                    </a:prstGeom>
                  </pic:spPr>
                </pic:pic>
              </a:graphicData>
            </a:graphic>
          </wp:anchor>
        </w:drawing>
      </w:r>
    </w:p>
    <w:p>
      <w:pPr>
        <w:pStyle w:val="BodyText"/>
        <w:spacing w:before="12"/>
        <w:rPr>
          <w:sz w:val="20"/>
        </w:rPr>
      </w:pPr>
    </w:p>
    <w:p>
      <w:pPr>
        <w:spacing w:before="0"/>
        <w:ind w:left="1329" w:right="1153" w:firstLine="0"/>
        <w:jc w:val="center"/>
        <w:rPr>
          <w:sz w:val="24"/>
        </w:rPr>
      </w:pPr>
      <w:bookmarkStart w:name="_bookmark30" w:id="31"/>
      <w:bookmarkEnd w:id="31"/>
      <w:r>
        <w:rPr/>
      </w:r>
      <w:r>
        <w:rPr>
          <w:spacing w:val="7"/>
          <w:sz w:val="24"/>
        </w:rPr>
        <w:t>图 </w:t>
      </w:r>
      <w:r>
        <w:rPr>
          <w:rFonts w:ascii="Times New Roman" w:eastAsia="Times New Roman"/>
          <w:sz w:val="24"/>
        </w:rPr>
        <w:t>4</w:t>
      </w:r>
      <w:r>
        <w:rPr>
          <w:rFonts w:ascii="Times New Roman" w:eastAsia="Times New Roman"/>
          <w:spacing w:val="64"/>
          <w:sz w:val="24"/>
        </w:rPr>
        <w:t> </w:t>
      </w:r>
      <w:r>
        <w:rPr>
          <w:spacing w:val="15"/>
          <w:sz w:val="24"/>
        </w:rPr>
        <w:t>数据资产管理内容之间的关系</w:t>
      </w:r>
    </w:p>
    <w:p>
      <w:pPr>
        <w:pStyle w:val="BodyText"/>
        <w:spacing w:before="2"/>
        <w:rPr>
          <w:sz w:val="32"/>
        </w:rPr>
      </w:pPr>
    </w:p>
    <w:p>
      <w:pPr>
        <w:pStyle w:val="BodyText"/>
        <w:spacing w:line="417" w:lineRule="auto"/>
        <w:ind w:left="1320" w:right="1313" w:firstLine="561"/>
        <w:jc w:val="both"/>
      </w:pPr>
      <w:r>
        <w:rPr>
          <w:b/>
        </w:rPr>
        <w:t>管</w:t>
      </w:r>
      <w:r>
        <w:rPr>
          <w:b/>
        </w:rPr>
        <w:t>理</w:t>
      </w:r>
      <w:r>
        <w:rPr>
          <w:b/>
        </w:rPr>
        <w:t>职</w:t>
      </w:r>
      <w:r>
        <w:rPr>
          <w:b/>
        </w:rPr>
        <w:t>能</w:t>
      </w:r>
      <w:r>
        <w:rPr>
          <w:b/>
        </w:rPr>
        <w:t>之</w:t>
      </w:r>
      <w:r>
        <w:rPr>
          <w:b/>
        </w:rPr>
        <w:t>间</w:t>
      </w:r>
      <w:r>
        <w:rPr>
          <w:b/>
        </w:rPr>
        <w:t>的</w:t>
      </w:r>
      <w:r>
        <w:rPr>
          <w:b/>
        </w:rPr>
        <w:t>关</w:t>
      </w:r>
      <w:r>
        <w:rPr>
          <w:b/>
        </w:rPr>
        <w:t>系</w:t>
      </w:r>
      <w:r>
        <w:rPr>
          <w:b/>
          <w:spacing w:val="-86"/>
        </w:rPr>
        <w:t>。</w:t>
      </w:r>
      <w:r>
        <w:rPr/>
        <w:t>如</w:t>
      </w:r>
      <w:hyperlink w:history="true" w:anchor="_bookmark30">
        <w:r>
          <w:rPr>
            <w:spacing w:val="-11"/>
          </w:rPr>
          <w:t>图 </w:t>
        </w:r>
        <w:r>
          <w:rPr>
            <w:rFonts w:ascii="Times New Roman" w:eastAsia="Times New Roman"/>
          </w:rPr>
          <w:t>4</w:t>
        </w:r>
        <w:r>
          <w:rPr>
            <w:rFonts w:ascii="Times New Roman" w:eastAsia="Times New Roman"/>
            <w:spacing w:val="-11"/>
          </w:rPr>
          <w:t> </w:t>
        </w:r>
      </w:hyperlink>
      <w:r>
        <w:rPr>
          <w:spacing w:val="-10"/>
        </w:rPr>
        <w:t>所示，在数据资产管理的实践中，</w:t>
      </w:r>
      <w:r>
        <w:rPr>
          <w:spacing w:val="-6"/>
        </w:rPr>
        <w:t>各项管理职能所涉及的管理内容之间往往存在着紧密的联系。数据资</w:t>
      </w:r>
      <w:r>
        <w:rPr>
          <w:spacing w:val="-4"/>
        </w:rPr>
        <w:t>产管理的数据一般包括元数据、主数据和业务数据。数据模型管理为</w:t>
      </w:r>
      <w:r>
        <w:rPr>
          <w:spacing w:val="-4"/>
        </w:rPr>
        <w:t>主数据、元数据和业务数据设计数据模型。数据质量管理按照数据标</w:t>
      </w:r>
      <w:r>
        <w:rPr>
          <w:spacing w:val="-4"/>
        </w:rPr>
        <w:t>准的规定稽核各部分数据内容。元数据管理发挥承上启下的作用，承</w:t>
      </w:r>
      <w:r>
        <w:rPr>
          <w:spacing w:val="-7"/>
        </w:rPr>
        <w:t>接数据标准管理和数据模型管理的阶段性成果，同时为主数据管理提</w:t>
      </w:r>
      <w:r>
        <w:rPr>
          <w:spacing w:val="-4"/>
        </w:rPr>
        <w:t>供有力支撑。数据安全管理贯穿数据全生命周期，为数据资产管理各</w:t>
      </w:r>
      <w:r>
        <w:rPr>
          <w:spacing w:val="-4"/>
        </w:rPr>
        <w:t>项管理职能提供了有力支撑。数据标准管理，顾名思义，就是定义数</w:t>
      </w:r>
      <w:r>
        <w:rPr>
          <w:spacing w:val="-2"/>
        </w:rPr>
        <w:t>据模型、数据安全和数据质量相关规范，一般以文件形式呈现。</w:t>
      </w:r>
    </w:p>
    <w:p>
      <w:pPr>
        <w:pStyle w:val="BodyText"/>
        <w:rPr>
          <w:sz w:val="20"/>
        </w:rPr>
      </w:pPr>
    </w:p>
    <w:p>
      <w:pPr>
        <w:pStyle w:val="BodyText"/>
        <w:rPr>
          <w:sz w:val="22"/>
        </w:rPr>
      </w:pPr>
    </w:p>
    <w:p>
      <w:pPr>
        <w:spacing w:before="93"/>
        <w:ind w:left="1329" w:right="1325" w:firstLine="0"/>
        <w:jc w:val="center"/>
        <w:rPr>
          <w:rFonts w:ascii="Times New Roman"/>
          <w:sz w:val="18"/>
        </w:rPr>
      </w:pPr>
      <w:r>
        <w:rPr>
          <w:rFonts w:ascii="Times New Roman"/>
          <w:spacing w:val="-5"/>
          <w:sz w:val="18"/>
        </w:rPr>
        <w:t>22</w:t>
      </w:r>
    </w:p>
    <w:p>
      <w:pPr>
        <w:spacing w:after="0"/>
        <w:jc w:val="center"/>
        <w:rPr>
          <w:rFonts w:ascii="Times New Roman"/>
          <w:sz w:val="18"/>
        </w:rPr>
        <w:sectPr>
          <w:headerReference w:type="default" r:id="rId33"/>
          <w:pgSz w:w="11910" w:h="16840"/>
          <w:pgMar w:header="877" w:footer="0" w:top="1100" w:bottom="280" w:left="480" w:right="480"/>
        </w:sectPr>
      </w:pPr>
    </w:p>
    <w:p>
      <w:pPr>
        <w:pStyle w:val="BodyText"/>
        <w:rPr>
          <w:rFonts w:ascii="Times New Roman"/>
          <w:sz w:val="20"/>
        </w:rPr>
      </w:pPr>
    </w:p>
    <w:p>
      <w:pPr>
        <w:pStyle w:val="Heading2"/>
      </w:pPr>
      <w:bookmarkStart w:name="_bookmark31" w:id="32"/>
      <w:bookmarkEnd w:id="32"/>
      <w:r>
        <w:rPr>
          <w:b w:val="0"/>
        </w:rPr>
      </w:r>
      <w:r>
        <w:rPr>
          <w:rFonts w:ascii="Times New Roman" w:eastAsia="Times New Roman"/>
        </w:rPr>
        <w:t>(</w:t>
      </w:r>
      <w:r>
        <w:rPr/>
        <w:t>二</w:t>
      </w:r>
      <w:r>
        <w:rPr>
          <w:rFonts w:ascii="Times New Roman" w:eastAsia="Times New Roman"/>
          <w:spacing w:val="-3"/>
        </w:rPr>
        <w:t>) </w:t>
      </w:r>
      <w:r>
        <w:rPr/>
        <w:t>保</w:t>
      </w:r>
      <w:r>
        <w:rPr/>
        <w:t>障</w:t>
      </w:r>
      <w:r>
        <w:rPr/>
        <w:t>措</w:t>
      </w:r>
      <w:r>
        <w:rPr>
          <w:spacing w:val="-10"/>
        </w:rPr>
        <w:t>施</w:t>
      </w:r>
    </w:p>
    <w:p>
      <w:pPr>
        <w:pStyle w:val="BodyText"/>
        <w:spacing w:line="417" w:lineRule="auto" w:before="302"/>
        <w:ind w:left="1320" w:right="1313" w:firstLine="559"/>
        <w:jc w:val="both"/>
      </w:pPr>
      <w:r>
        <w:rPr>
          <w:spacing w:val="-12"/>
        </w:rPr>
        <w:t>数据资产管理是体系化非常强的工作，需要充分考虑企业内部 </w:t>
      </w:r>
      <w:r>
        <w:rPr>
          <w:rFonts w:ascii="Times New Roman" w:hAnsi="Times New Roman" w:eastAsia="Times New Roman"/>
          <w:spacing w:val="-2"/>
        </w:rPr>
        <w:t>IT</w:t>
      </w:r>
      <w:r>
        <w:rPr>
          <w:spacing w:val="-4"/>
        </w:rPr>
        <w:t>系统、数据资源以及业务应用的开展现状，同时也要考虑围绕业务开</w:t>
      </w:r>
      <w:r>
        <w:rPr>
          <w:spacing w:val="-8"/>
        </w:rPr>
        <w:t>展所设立的人员和组织机构的情况，在此基础上设计一套有针对性的</w:t>
      </w:r>
      <w:r>
        <w:rPr>
          <w:spacing w:val="-4"/>
        </w:rPr>
        <w:t>数据资产管理组织架构、管理流程、管理机制和考核评估办法，通过</w:t>
      </w:r>
      <w:r>
        <w:rPr>
          <w:spacing w:val="-2"/>
        </w:rPr>
        <w:t>管理的手段明确</w:t>
      </w:r>
      <w:r>
        <w:rPr>
          <w:rFonts w:ascii="Times New Roman" w:hAnsi="Times New Roman" w:eastAsia="Times New Roman"/>
          <w:spacing w:val="-2"/>
        </w:rPr>
        <w:t>“</w:t>
      </w:r>
      <w:r>
        <w:rPr>
          <w:spacing w:val="-2"/>
        </w:rPr>
        <w:t>责权利</w:t>
      </w:r>
      <w:r>
        <w:rPr>
          <w:rFonts w:ascii="Times New Roman" w:hAnsi="Times New Roman" w:eastAsia="Times New Roman"/>
          <w:spacing w:val="-2"/>
        </w:rPr>
        <w:t>”</w:t>
      </w:r>
      <w:r>
        <w:rPr>
          <w:spacing w:val="-6"/>
        </w:rPr>
        <w:t>以保障数据资产管理工作有序开展。数据资</w:t>
      </w:r>
      <w:r>
        <w:rPr>
          <w:spacing w:val="-4"/>
        </w:rPr>
        <w:t>产管理的保障措施可以从战略规划、组织架构、制度体系、审计机制</w:t>
      </w:r>
      <w:r>
        <w:rPr>
          <w:spacing w:val="-2"/>
        </w:rPr>
        <w:t>和培训宣贯五方面进行展开，本章将进行详细阐述。</w:t>
      </w:r>
    </w:p>
    <w:p>
      <w:pPr>
        <w:pStyle w:val="Heading3"/>
        <w:numPr>
          <w:ilvl w:val="0"/>
          <w:numId w:val="11"/>
        </w:numPr>
        <w:tabs>
          <w:tab w:pos="2580" w:val="left" w:leader="none"/>
          <w:tab w:pos="2581" w:val="left" w:leader="none"/>
        </w:tabs>
        <w:spacing w:line="240" w:lineRule="auto" w:before="213" w:after="0"/>
        <w:ind w:left="2580" w:right="0" w:hanging="620"/>
        <w:jc w:val="left"/>
      </w:pPr>
      <w:bookmarkStart w:name="_bookmark32" w:id="33"/>
      <w:bookmarkEnd w:id="33"/>
      <w:r>
        <w:rPr>
          <w:w w:val="95"/>
        </w:rPr>
        <w:t>制</w:t>
      </w:r>
      <w:r>
        <w:rPr>
          <w:w w:val="95"/>
        </w:rPr>
        <w:t>定</w:t>
      </w:r>
      <w:r>
        <w:rPr>
          <w:w w:val="95"/>
        </w:rPr>
        <w:t>战</w:t>
      </w:r>
      <w:r>
        <w:rPr>
          <w:w w:val="95"/>
        </w:rPr>
        <w:t>略</w:t>
      </w:r>
      <w:r>
        <w:rPr>
          <w:w w:val="95"/>
        </w:rPr>
        <w:t>规</w:t>
      </w:r>
      <w:r>
        <w:rPr>
          <w:spacing w:val="-10"/>
          <w:w w:val="95"/>
        </w:rPr>
        <w:t>划</w:t>
      </w:r>
    </w:p>
    <w:p>
      <w:pPr>
        <w:pStyle w:val="BodyText"/>
        <w:spacing w:line="417" w:lineRule="auto" w:before="300"/>
        <w:ind w:left="1320" w:right="1175" w:firstLine="559"/>
        <w:jc w:val="both"/>
      </w:pPr>
      <w:r>
        <w:rPr>
          <w:spacing w:val="-9"/>
        </w:rPr>
        <w:t>从管理层、领导层出发，从顶向下全局部署数据资产管理规范从</w:t>
      </w:r>
      <w:r>
        <w:rPr>
          <w:spacing w:val="-7"/>
        </w:rPr>
        <w:t>而形成全面的标准规则体系和执行调度流程。战略规划是数据资产管</w:t>
      </w:r>
      <w:r>
        <w:rPr>
          <w:spacing w:val="-7"/>
        </w:rPr>
        <w:t>理成为企业战略核心任务应用的重要部分，是数据资产得到一定程度</w:t>
      </w:r>
      <w:r>
        <w:rPr>
          <w:spacing w:val="-2"/>
        </w:rPr>
        <w:t>内外部应用的指导蓝图。值得一提的是，越来越多的企业单位在战略</w:t>
      </w:r>
      <w:r>
        <w:rPr>
          <w:spacing w:val="-9"/>
        </w:rPr>
        <w:t>规划阶段决议成立专门的数据管理部门，以连通 </w:t>
      </w:r>
      <w:r>
        <w:rPr>
          <w:rFonts w:ascii="Times New Roman" w:eastAsia="Times New Roman"/>
          <w:spacing w:val="-2"/>
        </w:rPr>
        <w:t>IT</w:t>
      </w:r>
      <w:r>
        <w:rPr>
          <w:rFonts w:ascii="Times New Roman" w:eastAsia="Times New Roman"/>
          <w:spacing w:val="14"/>
        </w:rPr>
        <w:t> </w:t>
      </w:r>
      <w:r>
        <w:rPr>
          <w:spacing w:val="-3"/>
        </w:rPr>
        <w:t>部门和业务部门。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92"/>
        <w:ind w:left="1329" w:right="1325" w:firstLine="0"/>
        <w:jc w:val="center"/>
        <w:rPr>
          <w:rFonts w:ascii="Times New Roman"/>
          <w:sz w:val="18"/>
        </w:rPr>
      </w:pPr>
      <w:r>
        <w:rPr>
          <w:rFonts w:ascii="Times New Roman"/>
          <w:spacing w:val="-5"/>
          <w:sz w:val="18"/>
        </w:rPr>
        <w:t>23</w:t>
      </w:r>
    </w:p>
    <w:p>
      <w:pPr>
        <w:spacing w:after="0"/>
        <w:jc w:val="center"/>
        <w:rPr>
          <w:rFonts w:ascii="Times New Roman"/>
          <w:sz w:val="18"/>
        </w:rPr>
        <w:sectPr>
          <w:headerReference w:type="default" r:id="rId35"/>
          <w:pgSz w:w="11910" w:h="16840"/>
          <w:pgMar w:header="877" w:footer="0" w:top="1100" w:bottom="280" w:left="480" w:right="480"/>
        </w:sectPr>
      </w:pPr>
    </w:p>
    <w:p>
      <w:pPr>
        <w:pStyle w:val="BodyText"/>
        <w:rPr>
          <w:rFonts w:ascii="Times New Roman"/>
          <w:sz w:val="20"/>
        </w:rPr>
      </w:pPr>
    </w:p>
    <w:p>
      <w:pPr>
        <w:pStyle w:val="Heading3"/>
        <w:numPr>
          <w:ilvl w:val="0"/>
          <w:numId w:val="11"/>
        </w:numPr>
        <w:tabs>
          <w:tab w:pos="2580" w:val="left" w:leader="none"/>
          <w:tab w:pos="2581" w:val="left" w:leader="none"/>
        </w:tabs>
        <w:spacing w:line="240" w:lineRule="auto" w:before="199" w:after="0"/>
        <w:ind w:left="2580" w:right="0" w:hanging="620"/>
        <w:jc w:val="left"/>
      </w:pPr>
      <w:bookmarkStart w:name="_bookmark33" w:id="34"/>
      <w:bookmarkEnd w:id="34"/>
      <w:r>
        <w:rPr>
          <w:w w:val="95"/>
        </w:rPr>
        <w:t>完</w:t>
      </w:r>
      <w:r>
        <w:rPr>
          <w:w w:val="95"/>
        </w:rPr>
        <w:t>善</w:t>
      </w:r>
      <w:r>
        <w:rPr>
          <w:w w:val="95"/>
        </w:rPr>
        <w:t>组</w:t>
      </w:r>
      <w:r>
        <w:rPr>
          <w:w w:val="95"/>
        </w:rPr>
        <w:t>织</w:t>
      </w:r>
      <w:r>
        <w:rPr>
          <w:w w:val="95"/>
        </w:rPr>
        <w:t>架</w:t>
      </w:r>
      <w:r>
        <w:rPr>
          <w:spacing w:val="-10"/>
          <w:w w:val="95"/>
        </w:rPr>
        <w:t>构</w:t>
      </w:r>
    </w:p>
    <w:p>
      <w:pPr>
        <w:pStyle w:val="BodyText"/>
        <w:spacing w:line="417" w:lineRule="auto" w:before="300"/>
        <w:ind w:left="1320" w:right="1316" w:firstLine="559"/>
      </w:pPr>
      <w:r>
        <w:rPr/>
        <w:drawing>
          <wp:anchor distT="0" distB="0" distL="0" distR="0" allowOverlap="1" layoutInCell="1" locked="0" behindDoc="0" simplePos="0" relativeHeight="14">
            <wp:simplePos x="0" y="0"/>
            <wp:positionH relativeFrom="page">
              <wp:posOffset>1290319</wp:posOffset>
            </wp:positionH>
            <wp:positionV relativeFrom="paragraph">
              <wp:posOffset>1012951</wp:posOffset>
            </wp:positionV>
            <wp:extent cx="5242403" cy="295656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37" cstate="print"/>
                    <a:stretch>
                      <a:fillRect/>
                    </a:stretch>
                  </pic:blipFill>
                  <pic:spPr>
                    <a:xfrm>
                      <a:off x="0" y="0"/>
                      <a:ext cx="5242403" cy="2956560"/>
                    </a:xfrm>
                    <a:prstGeom prst="rect">
                      <a:avLst/>
                    </a:prstGeom>
                  </pic:spPr>
                </pic:pic>
              </a:graphicData>
            </a:graphic>
          </wp:anchor>
        </w:drawing>
      </w:r>
      <w:r>
        <w:rPr>
          <w:spacing w:val="-7"/>
        </w:rPr>
        <w:t>典型的组织架构主要由数据资产管理委员会、数据资产管理中心</w:t>
      </w:r>
      <w:r>
        <w:rPr>
          <w:spacing w:val="-2"/>
        </w:rPr>
        <w:t>和各业务部门构成。组织架构划分和角色设定如下图所示：</w:t>
      </w:r>
    </w:p>
    <w:p>
      <w:pPr>
        <w:pStyle w:val="BodyText"/>
        <w:spacing w:before="5"/>
        <w:rPr>
          <w:sz w:val="23"/>
        </w:rPr>
      </w:pPr>
    </w:p>
    <w:p>
      <w:pPr>
        <w:spacing w:before="1"/>
        <w:ind w:left="1329" w:right="1155" w:firstLine="0"/>
        <w:jc w:val="center"/>
        <w:rPr>
          <w:sz w:val="24"/>
        </w:rPr>
      </w:pPr>
      <w:bookmarkStart w:name="_bookmark34" w:id="35"/>
      <w:bookmarkEnd w:id="35"/>
      <w:r>
        <w:rPr/>
      </w:r>
      <w:r>
        <w:rPr>
          <w:spacing w:val="7"/>
          <w:sz w:val="24"/>
        </w:rPr>
        <w:t>图 </w:t>
      </w:r>
      <w:r>
        <w:rPr>
          <w:rFonts w:ascii="Times New Roman" w:eastAsia="Times New Roman"/>
          <w:sz w:val="24"/>
        </w:rPr>
        <w:t>5</w:t>
      </w:r>
      <w:r>
        <w:rPr>
          <w:rFonts w:ascii="Times New Roman" w:eastAsia="Times New Roman"/>
          <w:spacing w:val="64"/>
          <w:sz w:val="24"/>
        </w:rPr>
        <w:t> </w:t>
      </w:r>
      <w:r>
        <w:rPr>
          <w:spacing w:val="16"/>
          <w:sz w:val="24"/>
        </w:rPr>
        <w:t>数据资产管理保障措施组织架构</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spacing w:before="92"/>
        <w:ind w:left="1329" w:right="1325" w:firstLine="0"/>
        <w:jc w:val="center"/>
        <w:rPr>
          <w:rFonts w:ascii="Times New Roman"/>
          <w:sz w:val="18"/>
        </w:rPr>
      </w:pPr>
      <w:r>
        <w:rPr>
          <w:rFonts w:ascii="Times New Roman"/>
          <w:spacing w:val="-5"/>
          <w:sz w:val="18"/>
        </w:rPr>
        <w:t>24</w:t>
      </w:r>
    </w:p>
    <w:p>
      <w:pPr>
        <w:spacing w:after="0"/>
        <w:jc w:val="center"/>
        <w:rPr>
          <w:rFonts w:ascii="Times New Roman"/>
          <w:sz w:val="18"/>
        </w:rPr>
        <w:sectPr>
          <w:headerReference w:type="default" r:id="rId36"/>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7" w:firstLine="559"/>
        <w:jc w:val="both"/>
      </w:pPr>
      <w:r>
        <w:rPr>
          <w:spacing w:val="-4"/>
        </w:rPr>
        <w:t>为了让组织架构中的各个角色相互配合，各司其职，还需要明确</w:t>
      </w:r>
      <w:r>
        <w:rPr>
          <w:spacing w:val="-12"/>
        </w:rPr>
        <w:t>他们相应的职责，让工作职责融入到日常的数据资产管理和使用工作</w:t>
      </w:r>
      <w:r>
        <w:rPr>
          <w:spacing w:val="-2"/>
        </w:rPr>
        <w:t>中。与上述典型的数据资产管理架构相适应的角色职责如下表。</w:t>
      </w:r>
    </w:p>
    <w:p>
      <w:pPr>
        <w:spacing w:line="287" w:lineRule="exact" w:before="0"/>
        <w:ind w:left="1329" w:right="1155" w:firstLine="0"/>
        <w:jc w:val="center"/>
        <w:rPr>
          <w:sz w:val="24"/>
        </w:rPr>
      </w:pPr>
      <w:bookmarkStart w:name="_bookmark35" w:id="36"/>
      <w:bookmarkEnd w:id="36"/>
      <w:r>
        <w:rPr/>
      </w:r>
      <w:r>
        <w:rPr>
          <w:spacing w:val="7"/>
          <w:sz w:val="24"/>
        </w:rPr>
        <w:t>表 </w:t>
      </w:r>
      <w:r>
        <w:rPr>
          <w:rFonts w:ascii="Times New Roman" w:eastAsia="Times New Roman"/>
          <w:sz w:val="24"/>
        </w:rPr>
        <w:t>2</w:t>
      </w:r>
      <w:r>
        <w:rPr>
          <w:rFonts w:ascii="Times New Roman" w:eastAsia="Times New Roman"/>
          <w:spacing w:val="64"/>
          <w:sz w:val="24"/>
        </w:rPr>
        <w:t> </w:t>
      </w:r>
      <w:r>
        <w:rPr>
          <w:spacing w:val="16"/>
          <w:sz w:val="24"/>
        </w:rPr>
        <w:t>数据资产管理组织架构角色职责</w:t>
      </w:r>
    </w:p>
    <w:p>
      <w:pPr>
        <w:pStyle w:val="BodyText"/>
        <w:spacing w:before="8" w:after="1"/>
        <w:rPr>
          <w:sz w:val="2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3"/>
        <w:gridCol w:w="1171"/>
        <w:gridCol w:w="1256"/>
        <w:gridCol w:w="3567"/>
        <w:gridCol w:w="3567"/>
      </w:tblGrid>
      <w:tr>
        <w:trPr>
          <w:trHeight w:val="623" w:hRule="atLeast"/>
        </w:trPr>
        <w:tc>
          <w:tcPr>
            <w:tcW w:w="1143" w:type="dxa"/>
          </w:tcPr>
          <w:p>
            <w:pPr>
              <w:pStyle w:val="TableParagraph"/>
              <w:spacing w:line="307" w:lineRule="exact"/>
              <w:ind w:left="213" w:right="202"/>
              <w:jc w:val="center"/>
              <w:rPr>
                <w:b/>
                <w:sz w:val="24"/>
              </w:rPr>
            </w:pPr>
            <w:r>
              <w:rPr>
                <w:b/>
                <w:w w:val="95"/>
                <w:sz w:val="24"/>
              </w:rPr>
              <w:t>组</w:t>
            </w:r>
            <w:r>
              <w:rPr>
                <w:b/>
                <w:w w:val="95"/>
                <w:sz w:val="24"/>
              </w:rPr>
              <w:t>织</w:t>
            </w:r>
            <w:r>
              <w:rPr>
                <w:b/>
                <w:spacing w:val="-10"/>
                <w:w w:val="95"/>
                <w:sz w:val="24"/>
              </w:rPr>
              <w:t>结</w:t>
            </w:r>
          </w:p>
          <w:p>
            <w:pPr>
              <w:pStyle w:val="TableParagraph"/>
              <w:spacing w:line="292" w:lineRule="exact" w:before="4"/>
              <w:ind w:left="9"/>
              <w:jc w:val="center"/>
              <w:rPr>
                <w:b/>
                <w:sz w:val="24"/>
              </w:rPr>
            </w:pPr>
            <w:r>
              <w:rPr>
                <w:b/>
                <w:w w:val="99"/>
                <w:sz w:val="24"/>
              </w:rPr>
              <w:t>构</w:t>
            </w:r>
          </w:p>
        </w:tc>
        <w:tc>
          <w:tcPr>
            <w:tcW w:w="1171" w:type="dxa"/>
          </w:tcPr>
          <w:p>
            <w:pPr>
              <w:pStyle w:val="TableParagraph"/>
              <w:spacing w:before="156"/>
              <w:ind w:left="342"/>
              <w:rPr>
                <w:b/>
                <w:sz w:val="24"/>
              </w:rPr>
            </w:pPr>
            <w:r>
              <w:rPr>
                <w:b/>
                <w:w w:val="95"/>
                <w:sz w:val="24"/>
              </w:rPr>
              <w:t>角</w:t>
            </w:r>
            <w:r>
              <w:rPr>
                <w:b/>
                <w:spacing w:val="-10"/>
                <w:sz w:val="24"/>
              </w:rPr>
              <w:t>色</w:t>
            </w:r>
          </w:p>
        </w:tc>
        <w:tc>
          <w:tcPr>
            <w:tcW w:w="1256" w:type="dxa"/>
          </w:tcPr>
          <w:p>
            <w:pPr>
              <w:pStyle w:val="TableParagraph"/>
              <w:spacing w:before="156"/>
              <w:ind w:left="143"/>
              <w:rPr>
                <w:b/>
                <w:sz w:val="24"/>
              </w:rPr>
            </w:pPr>
            <w:r>
              <w:rPr>
                <w:b/>
                <w:spacing w:val="-3"/>
                <w:w w:val="95"/>
                <w:sz w:val="24"/>
              </w:rPr>
              <w:t>角色描述</w:t>
            </w:r>
          </w:p>
        </w:tc>
        <w:tc>
          <w:tcPr>
            <w:tcW w:w="3567" w:type="dxa"/>
          </w:tcPr>
          <w:p>
            <w:pPr>
              <w:pStyle w:val="TableParagraph"/>
              <w:spacing w:before="156"/>
              <w:ind w:left="1057"/>
              <w:rPr>
                <w:b/>
                <w:sz w:val="24"/>
              </w:rPr>
            </w:pPr>
            <w:r>
              <w:rPr>
                <w:b/>
                <w:w w:val="95"/>
                <w:sz w:val="24"/>
              </w:rPr>
              <w:t>角色主</w:t>
            </w:r>
            <w:r>
              <w:rPr>
                <w:b/>
                <w:w w:val="95"/>
                <w:sz w:val="24"/>
              </w:rPr>
              <w:t>要</w:t>
            </w:r>
            <w:r>
              <w:rPr>
                <w:b/>
                <w:w w:val="95"/>
                <w:sz w:val="24"/>
              </w:rPr>
              <w:t>职</w:t>
            </w:r>
            <w:r>
              <w:rPr>
                <w:b/>
                <w:spacing w:val="-10"/>
                <w:w w:val="95"/>
                <w:sz w:val="24"/>
              </w:rPr>
              <w:t>责</w:t>
            </w:r>
          </w:p>
        </w:tc>
        <w:tc>
          <w:tcPr>
            <w:tcW w:w="3567" w:type="dxa"/>
          </w:tcPr>
          <w:p>
            <w:pPr>
              <w:pStyle w:val="TableParagraph"/>
              <w:spacing w:before="156"/>
              <w:ind w:left="1060"/>
              <w:rPr>
                <w:b/>
                <w:sz w:val="24"/>
              </w:rPr>
            </w:pPr>
            <w:r>
              <w:rPr>
                <w:b/>
                <w:w w:val="95"/>
                <w:sz w:val="24"/>
              </w:rPr>
              <w:t>人员能</w:t>
            </w:r>
            <w:r>
              <w:rPr>
                <w:b/>
                <w:w w:val="95"/>
                <w:sz w:val="24"/>
              </w:rPr>
              <w:t>力</w:t>
            </w:r>
            <w:r>
              <w:rPr>
                <w:b/>
                <w:w w:val="95"/>
                <w:sz w:val="24"/>
              </w:rPr>
              <w:t>要</w:t>
            </w:r>
            <w:r>
              <w:rPr>
                <w:b/>
                <w:spacing w:val="-10"/>
                <w:w w:val="95"/>
                <w:sz w:val="24"/>
              </w:rPr>
              <w:t>求</w:t>
            </w:r>
          </w:p>
        </w:tc>
      </w:tr>
      <w:tr>
        <w:trPr>
          <w:trHeight w:val="1562" w:hRule="atLeast"/>
        </w:trPr>
        <w:tc>
          <w:tcPr>
            <w:tcW w:w="1143" w:type="dxa"/>
          </w:tcPr>
          <w:p>
            <w:pPr>
              <w:pStyle w:val="TableParagraph"/>
              <w:spacing w:before="6"/>
              <w:rPr>
                <w:sz w:val="24"/>
              </w:rPr>
            </w:pPr>
          </w:p>
          <w:p>
            <w:pPr>
              <w:pStyle w:val="TableParagraph"/>
              <w:spacing w:line="244" w:lineRule="auto"/>
              <w:ind w:left="107" w:right="96"/>
              <w:jc w:val="both"/>
              <w:rPr>
                <w:sz w:val="24"/>
              </w:rPr>
            </w:pPr>
            <w:r>
              <w:rPr>
                <w:spacing w:val="-12"/>
                <w:sz w:val="24"/>
              </w:rPr>
              <w:t>数 据 资产 管 理</w:t>
            </w:r>
            <w:r>
              <w:rPr>
                <w:spacing w:val="-4"/>
                <w:sz w:val="24"/>
              </w:rPr>
              <w:t>委员会</w:t>
            </w:r>
          </w:p>
        </w:tc>
        <w:tc>
          <w:tcPr>
            <w:tcW w:w="1171" w:type="dxa"/>
          </w:tcPr>
          <w:p>
            <w:pPr>
              <w:pStyle w:val="TableParagraph"/>
              <w:rPr>
                <w:sz w:val="24"/>
              </w:rPr>
            </w:pPr>
          </w:p>
          <w:p>
            <w:pPr>
              <w:pStyle w:val="TableParagraph"/>
              <w:spacing w:line="242" w:lineRule="auto" w:before="163"/>
              <w:ind w:left="107" w:right="96"/>
              <w:rPr>
                <w:sz w:val="24"/>
              </w:rPr>
            </w:pPr>
            <w:r>
              <w:rPr>
                <w:spacing w:val="-10"/>
                <w:sz w:val="24"/>
              </w:rPr>
              <w:t>数 据 决</w:t>
            </w:r>
            <w:r>
              <w:rPr>
                <w:spacing w:val="-6"/>
                <w:sz w:val="24"/>
              </w:rPr>
              <w:t>策者</w:t>
            </w:r>
          </w:p>
        </w:tc>
        <w:tc>
          <w:tcPr>
            <w:tcW w:w="1256" w:type="dxa"/>
          </w:tcPr>
          <w:p>
            <w:pPr>
              <w:pStyle w:val="TableParagraph"/>
              <w:spacing w:line="244" w:lineRule="auto" w:before="2"/>
              <w:ind w:left="107" w:right="70"/>
              <w:jc w:val="both"/>
              <w:rPr>
                <w:sz w:val="24"/>
              </w:rPr>
            </w:pPr>
            <w:r>
              <w:rPr>
                <w:spacing w:val="19"/>
                <w:sz w:val="24"/>
              </w:rPr>
              <w:t>由公司主</w:t>
            </w:r>
            <w:r>
              <w:rPr>
                <w:spacing w:val="19"/>
                <w:sz w:val="24"/>
              </w:rPr>
              <w:t>管领导和</w:t>
            </w:r>
            <w:r>
              <w:rPr>
                <w:spacing w:val="19"/>
                <w:sz w:val="24"/>
              </w:rPr>
              <w:t>各业务部</w:t>
            </w:r>
            <w:r>
              <w:rPr>
                <w:spacing w:val="19"/>
                <w:sz w:val="24"/>
              </w:rPr>
              <w:t>门领导组</w:t>
            </w:r>
          </w:p>
          <w:p>
            <w:pPr>
              <w:pStyle w:val="TableParagraph"/>
              <w:spacing w:line="286" w:lineRule="exact"/>
              <w:ind w:left="107"/>
              <w:rPr>
                <w:sz w:val="24"/>
              </w:rPr>
            </w:pPr>
            <w:r>
              <w:rPr>
                <w:sz w:val="24"/>
              </w:rPr>
              <w:t>成</w:t>
            </w:r>
          </w:p>
        </w:tc>
        <w:tc>
          <w:tcPr>
            <w:tcW w:w="3567" w:type="dxa"/>
          </w:tcPr>
          <w:p>
            <w:pPr>
              <w:pStyle w:val="TableParagraph"/>
              <w:spacing w:line="244" w:lineRule="auto" w:before="158"/>
              <w:ind w:left="105" w:right="80"/>
              <w:jc w:val="both"/>
              <w:rPr>
                <w:sz w:val="24"/>
              </w:rPr>
            </w:pPr>
            <w:r>
              <w:rPr>
                <w:spacing w:val="-2"/>
                <w:sz w:val="24"/>
              </w:rPr>
              <w:t>负责领导数据资产管理工作；决</w:t>
            </w:r>
            <w:r>
              <w:rPr>
                <w:spacing w:val="15"/>
                <w:sz w:val="24"/>
              </w:rPr>
              <w:t>策数据资产管理重大工作内容</w:t>
            </w:r>
            <w:r>
              <w:rPr>
                <w:spacing w:val="-2"/>
                <w:sz w:val="24"/>
              </w:rPr>
              <w:t>和方向。在数据角色方出现问题</w:t>
            </w:r>
            <w:r>
              <w:rPr>
                <w:spacing w:val="-2"/>
                <w:sz w:val="24"/>
              </w:rPr>
              <w:t>时负责仲裁。</w:t>
            </w:r>
          </w:p>
        </w:tc>
        <w:tc>
          <w:tcPr>
            <w:tcW w:w="3567" w:type="dxa"/>
          </w:tcPr>
          <w:p>
            <w:pPr>
              <w:pStyle w:val="TableParagraph"/>
              <w:spacing w:line="244" w:lineRule="auto" w:before="2"/>
              <w:ind w:left="107" w:right="97"/>
              <w:jc w:val="both"/>
              <w:rPr>
                <w:sz w:val="24"/>
              </w:rPr>
            </w:pPr>
            <w:r>
              <w:rPr>
                <w:spacing w:val="-2"/>
                <w:sz w:val="24"/>
              </w:rPr>
              <w:t>熟悉组织行为学、产品、财务知识，具备团队管理、商业分析与</w:t>
            </w:r>
            <w:r>
              <w:rPr>
                <w:spacing w:val="-2"/>
                <w:sz w:val="24"/>
              </w:rPr>
              <w:t>判断、数据和战略规划能力。</w:t>
            </w:r>
          </w:p>
        </w:tc>
      </w:tr>
      <w:tr>
        <w:trPr>
          <w:trHeight w:val="309" w:hRule="atLeast"/>
        </w:trPr>
        <w:tc>
          <w:tcPr>
            <w:tcW w:w="1143" w:type="dxa"/>
            <w:tcBorders>
              <w:bottom w:val="nil"/>
            </w:tcBorders>
          </w:tcPr>
          <w:p>
            <w:pPr>
              <w:pStyle w:val="TableParagraph"/>
              <w:rPr>
                <w:rFonts w:ascii="Times New Roman"/>
                <w:sz w:val="22"/>
              </w:rPr>
            </w:pPr>
          </w:p>
        </w:tc>
        <w:tc>
          <w:tcPr>
            <w:tcW w:w="1171" w:type="dxa"/>
            <w:tcBorders>
              <w:bottom w:val="nil"/>
            </w:tcBorders>
          </w:tcPr>
          <w:p>
            <w:pPr>
              <w:pStyle w:val="TableParagraph"/>
              <w:rPr>
                <w:rFonts w:ascii="Times New Roman"/>
                <w:sz w:val="22"/>
              </w:rPr>
            </w:pPr>
          </w:p>
        </w:tc>
        <w:tc>
          <w:tcPr>
            <w:tcW w:w="1256" w:type="dxa"/>
            <w:tcBorders>
              <w:bottom w:val="nil"/>
            </w:tcBorders>
          </w:tcPr>
          <w:p>
            <w:pPr>
              <w:pStyle w:val="TableParagraph"/>
              <w:rPr>
                <w:rFonts w:ascii="Times New Roman"/>
                <w:sz w:val="22"/>
              </w:rPr>
            </w:pPr>
          </w:p>
        </w:tc>
        <w:tc>
          <w:tcPr>
            <w:tcW w:w="3567" w:type="dxa"/>
            <w:tcBorders>
              <w:bottom w:val="nil"/>
            </w:tcBorders>
          </w:tcPr>
          <w:p>
            <w:pPr>
              <w:pStyle w:val="TableParagraph"/>
              <w:spacing w:line="290" w:lineRule="exact"/>
              <w:ind w:left="105"/>
              <w:rPr>
                <w:sz w:val="24"/>
              </w:rPr>
            </w:pPr>
            <w:r>
              <w:rPr>
                <w:spacing w:val="18"/>
                <w:sz w:val="24"/>
              </w:rPr>
              <w:t>负责牵头制定数据资产管理的</w:t>
            </w:r>
          </w:p>
        </w:tc>
        <w:tc>
          <w:tcPr>
            <w:tcW w:w="3567" w:type="dxa"/>
            <w:tcBorders>
              <w:bottom w:val="nil"/>
            </w:tcBorders>
          </w:tcPr>
          <w:p>
            <w:pPr>
              <w:pStyle w:val="TableParagraph"/>
              <w:spacing w:line="290" w:lineRule="exact"/>
              <w:ind w:left="107"/>
              <w:rPr>
                <w:sz w:val="24"/>
              </w:rPr>
            </w:pPr>
            <w:r>
              <w:rPr>
                <w:spacing w:val="-3"/>
                <w:sz w:val="24"/>
              </w:rPr>
              <w:t>熟悉项目管理、关联管理、质量</w:t>
            </w:r>
          </w:p>
        </w:tc>
      </w:tr>
      <w:tr>
        <w:trPr>
          <w:trHeight w:val="311" w:hRule="atLeast"/>
        </w:trPr>
        <w:tc>
          <w:tcPr>
            <w:tcW w:w="1143" w:type="dxa"/>
            <w:tcBorders>
              <w:top w:val="nil"/>
              <w:bottom w:val="nil"/>
            </w:tcBorders>
          </w:tcPr>
          <w:p>
            <w:pPr>
              <w:pStyle w:val="TableParagraph"/>
              <w:rPr>
                <w:rFonts w:ascii="Times New Roman"/>
                <w:sz w:val="22"/>
              </w:rPr>
            </w:pPr>
          </w:p>
        </w:tc>
        <w:tc>
          <w:tcPr>
            <w:tcW w:w="1171" w:type="dxa"/>
            <w:tcBorders>
              <w:top w:val="nil"/>
              <w:bottom w:val="nil"/>
            </w:tcBorders>
          </w:tcPr>
          <w:p>
            <w:pPr>
              <w:pStyle w:val="TableParagraph"/>
              <w:rPr>
                <w:rFonts w:ascii="Times New Roman"/>
                <w:sz w:val="22"/>
              </w:rPr>
            </w:pPr>
          </w:p>
        </w:tc>
        <w:tc>
          <w:tcPr>
            <w:tcW w:w="1256" w:type="dxa"/>
            <w:tcBorders>
              <w:top w:val="nil"/>
              <w:bottom w:val="nil"/>
            </w:tcBorders>
          </w:tcPr>
          <w:p>
            <w:pPr>
              <w:pStyle w:val="TableParagraph"/>
              <w:rPr>
                <w:rFonts w:ascii="Times New Roman"/>
                <w:sz w:val="22"/>
              </w:rPr>
            </w:pPr>
          </w:p>
        </w:tc>
        <w:tc>
          <w:tcPr>
            <w:tcW w:w="3567" w:type="dxa"/>
            <w:tcBorders>
              <w:top w:val="nil"/>
              <w:bottom w:val="nil"/>
            </w:tcBorders>
          </w:tcPr>
          <w:p>
            <w:pPr>
              <w:pStyle w:val="TableParagraph"/>
              <w:spacing w:line="290" w:lineRule="exact" w:before="2"/>
              <w:ind w:left="105"/>
              <w:rPr>
                <w:sz w:val="24"/>
              </w:rPr>
            </w:pPr>
            <w:r>
              <w:rPr>
                <w:spacing w:val="-3"/>
                <w:sz w:val="24"/>
              </w:rPr>
              <w:t>政策、标准、规则、流程，协调</w:t>
            </w:r>
          </w:p>
        </w:tc>
        <w:tc>
          <w:tcPr>
            <w:tcW w:w="3567" w:type="dxa"/>
            <w:tcBorders>
              <w:top w:val="nil"/>
              <w:bottom w:val="nil"/>
            </w:tcBorders>
          </w:tcPr>
          <w:p>
            <w:pPr>
              <w:pStyle w:val="TableParagraph"/>
              <w:spacing w:line="290" w:lineRule="exact" w:before="2"/>
              <w:ind w:left="107"/>
              <w:rPr>
                <w:sz w:val="24"/>
              </w:rPr>
            </w:pPr>
            <w:r>
              <w:rPr>
                <w:spacing w:val="-3"/>
                <w:sz w:val="24"/>
              </w:rPr>
              <w:t>管理能力，具备项目规划、跟踪</w:t>
            </w:r>
          </w:p>
        </w:tc>
      </w:tr>
      <w:tr>
        <w:trPr>
          <w:trHeight w:val="1248" w:hRule="atLeast"/>
        </w:trPr>
        <w:tc>
          <w:tcPr>
            <w:tcW w:w="1143" w:type="dxa"/>
            <w:tcBorders>
              <w:top w:val="nil"/>
              <w:bottom w:val="nil"/>
            </w:tcBorders>
          </w:tcPr>
          <w:p>
            <w:pPr>
              <w:pStyle w:val="TableParagraph"/>
              <w:spacing w:line="242" w:lineRule="auto" w:before="158"/>
              <w:ind w:left="107" w:right="96"/>
              <w:jc w:val="both"/>
              <w:rPr>
                <w:sz w:val="24"/>
              </w:rPr>
            </w:pPr>
            <w:r>
              <w:rPr>
                <w:spacing w:val="-12"/>
                <w:sz w:val="24"/>
              </w:rPr>
              <w:t>数 据 资产 管 理</w:t>
            </w:r>
            <w:r>
              <w:rPr>
                <w:spacing w:val="-6"/>
                <w:sz w:val="24"/>
              </w:rPr>
              <w:t>中心</w:t>
            </w:r>
          </w:p>
        </w:tc>
        <w:tc>
          <w:tcPr>
            <w:tcW w:w="1171" w:type="dxa"/>
            <w:tcBorders>
              <w:top w:val="nil"/>
              <w:bottom w:val="nil"/>
            </w:tcBorders>
          </w:tcPr>
          <w:p>
            <w:pPr>
              <w:pStyle w:val="TableParagraph"/>
              <w:spacing w:before="6"/>
              <w:rPr>
                <w:sz w:val="24"/>
              </w:rPr>
            </w:pPr>
          </w:p>
          <w:p>
            <w:pPr>
              <w:pStyle w:val="TableParagraph"/>
              <w:spacing w:line="242" w:lineRule="auto"/>
              <w:ind w:left="107" w:right="96"/>
              <w:rPr>
                <w:sz w:val="24"/>
              </w:rPr>
            </w:pPr>
            <w:r>
              <w:rPr>
                <w:spacing w:val="-10"/>
                <w:sz w:val="24"/>
              </w:rPr>
              <w:t>数 据 管</w:t>
            </w:r>
            <w:r>
              <w:rPr>
                <w:spacing w:val="-6"/>
                <w:sz w:val="24"/>
              </w:rPr>
              <w:t>理者</w:t>
            </w:r>
          </w:p>
        </w:tc>
        <w:tc>
          <w:tcPr>
            <w:tcW w:w="1256" w:type="dxa"/>
            <w:tcBorders>
              <w:top w:val="nil"/>
              <w:bottom w:val="nil"/>
            </w:tcBorders>
          </w:tcPr>
          <w:p>
            <w:pPr>
              <w:pStyle w:val="TableParagraph"/>
              <w:spacing w:line="242" w:lineRule="auto" w:before="2"/>
              <w:ind w:left="107" w:right="70"/>
              <w:jc w:val="both"/>
              <w:rPr>
                <w:sz w:val="24"/>
              </w:rPr>
            </w:pPr>
            <w:r>
              <w:rPr>
                <w:spacing w:val="19"/>
                <w:sz w:val="24"/>
              </w:rPr>
              <w:t>数据管理</w:t>
            </w:r>
            <w:r>
              <w:rPr>
                <w:spacing w:val="19"/>
                <w:sz w:val="24"/>
              </w:rPr>
              <w:t>中心机构</w:t>
            </w:r>
            <w:r>
              <w:rPr>
                <w:spacing w:val="19"/>
                <w:sz w:val="24"/>
              </w:rPr>
              <w:t>的平台运</w:t>
            </w:r>
          </w:p>
          <w:p>
            <w:pPr>
              <w:pStyle w:val="TableParagraph"/>
              <w:spacing w:line="290" w:lineRule="exact" w:before="4"/>
              <w:ind w:left="107"/>
              <w:rPr>
                <w:sz w:val="24"/>
              </w:rPr>
            </w:pPr>
            <w:r>
              <w:rPr>
                <w:spacing w:val="-4"/>
                <w:sz w:val="24"/>
              </w:rPr>
              <w:t>营人员</w:t>
            </w:r>
          </w:p>
        </w:tc>
        <w:tc>
          <w:tcPr>
            <w:tcW w:w="3567" w:type="dxa"/>
            <w:tcBorders>
              <w:top w:val="nil"/>
              <w:bottom w:val="nil"/>
            </w:tcBorders>
          </w:tcPr>
          <w:p>
            <w:pPr>
              <w:pStyle w:val="TableParagraph"/>
              <w:spacing w:line="242" w:lineRule="auto" w:before="2"/>
              <w:ind w:left="105" w:right="80"/>
              <w:jc w:val="both"/>
              <w:rPr>
                <w:sz w:val="24"/>
              </w:rPr>
            </w:pPr>
            <w:r>
              <w:rPr>
                <w:spacing w:val="-2"/>
                <w:sz w:val="24"/>
              </w:rPr>
              <w:t>认责冲突；监督各项数据规则和</w:t>
            </w:r>
            <w:r>
              <w:rPr>
                <w:spacing w:val="-2"/>
                <w:sz w:val="24"/>
              </w:rPr>
              <w:t>规范的约束的落实情况；负责数</w:t>
            </w:r>
            <w:r>
              <w:rPr>
                <w:spacing w:val="16"/>
                <w:sz w:val="24"/>
              </w:rPr>
              <w:t>据资产管理平台中整体数据的</w:t>
            </w:r>
          </w:p>
          <w:p>
            <w:pPr>
              <w:pStyle w:val="TableParagraph"/>
              <w:spacing w:line="290" w:lineRule="exact" w:before="4"/>
              <w:ind w:left="105"/>
              <w:rPr>
                <w:sz w:val="24"/>
              </w:rPr>
            </w:pPr>
            <w:r>
              <w:rPr>
                <w:spacing w:val="18"/>
                <w:sz w:val="24"/>
              </w:rPr>
              <w:t>管控流程制定和平台功能系统</w:t>
            </w:r>
          </w:p>
        </w:tc>
        <w:tc>
          <w:tcPr>
            <w:tcW w:w="3567" w:type="dxa"/>
            <w:tcBorders>
              <w:top w:val="nil"/>
              <w:bottom w:val="nil"/>
            </w:tcBorders>
          </w:tcPr>
          <w:p>
            <w:pPr>
              <w:pStyle w:val="TableParagraph"/>
              <w:spacing w:line="242" w:lineRule="auto" w:before="2"/>
              <w:ind w:left="107" w:right="97"/>
              <w:jc w:val="both"/>
              <w:rPr>
                <w:sz w:val="24"/>
              </w:rPr>
            </w:pPr>
            <w:r>
              <w:rPr>
                <w:spacing w:val="-2"/>
                <w:sz w:val="24"/>
              </w:rPr>
              <w:t>和控制、风险识别与管控、敏捷</w:t>
            </w:r>
            <w:r>
              <w:rPr>
                <w:spacing w:val="-2"/>
                <w:sz w:val="24"/>
              </w:rPr>
              <w:t>项目管理、沟通与执行和产品规</w:t>
            </w:r>
            <w:r>
              <w:rPr>
                <w:spacing w:val="-4"/>
                <w:sz w:val="24"/>
              </w:rPr>
              <w:t>划能力。</w:t>
            </w:r>
          </w:p>
        </w:tc>
      </w:tr>
      <w:tr>
        <w:trPr>
          <w:trHeight w:val="311" w:hRule="atLeast"/>
        </w:trPr>
        <w:tc>
          <w:tcPr>
            <w:tcW w:w="1143" w:type="dxa"/>
            <w:tcBorders>
              <w:top w:val="nil"/>
              <w:bottom w:val="nil"/>
            </w:tcBorders>
          </w:tcPr>
          <w:p>
            <w:pPr>
              <w:pStyle w:val="TableParagraph"/>
              <w:rPr>
                <w:rFonts w:ascii="Times New Roman"/>
                <w:sz w:val="22"/>
              </w:rPr>
            </w:pPr>
          </w:p>
        </w:tc>
        <w:tc>
          <w:tcPr>
            <w:tcW w:w="1171" w:type="dxa"/>
            <w:tcBorders>
              <w:top w:val="nil"/>
              <w:bottom w:val="nil"/>
            </w:tcBorders>
          </w:tcPr>
          <w:p>
            <w:pPr>
              <w:pStyle w:val="TableParagraph"/>
              <w:rPr>
                <w:rFonts w:ascii="Times New Roman"/>
                <w:sz w:val="22"/>
              </w:rPr>
            </w:pPr>
          </w:p>
        </w:tc>
        <w:tc>
          <w:tcPr>
            <w:tcW w:w="1256" w:type="dxa"/>
            <w:tcBorders>
              <w:top w:val="nil"/>
              <w:bottom w:val="nil"/>
            </w:tcBorders>
          </w:tcPr>
          <w:p>
            <w:pPr>
              <w:pStyle w:val="TableParagraph"/>
              <w:rPr>
                <w:rFonts w:ascii="Times New Roman"/>
                <w:sz w:val="22"/>
              </w:rPr>
            </w:pPr>
          </w:p>
        </w:tc>
        <w:tc>
          <w:tcPr>
            <w:tcW w:w="3567" w:type="dxa"/>
            <w:tcBorders>
              <w:top w:val="nil"/>
              <w:bottom w:val="nil"/>
            </w:tcBorders>
          </w:tcPr>
          <w:p>
            <w:pPr>
              <w:pStyle w:val="TableParagraph"/>
              <w:spacing w:line="290" w:lineRule="exact" w:before="2"/>
              <w:ind w:left="105"/>
              <w:rPr>
                <w:sz w:val="24"/>
              </w:rPr>
            </w:pPr>
            <w:r>
              <w:rPr>
                <w:spacing w:val="-3"/>
                <w:sz w:val="24"/>
              </w:rPr>
              <w:t>支撑的实施；负责数据平台的整</w:t>
            </w:r>
          </w:p>
        </w:tc>
        <w:tc>
          <w:tcPr>
            <w:tcW w:w="3567" w:type="dxa"/>
            <w:tcBorders>
              <w:top w:val="nil"/>
              <w:bottom w:val="nil"/>
            </w:tcBorders>
          </w:tcPr>
          <w:p>
            <w:pPr>
              <w:pStyle w:val="TableParagraph"/>
              <w:rPr>
                <w:rFonts w:ascii="Times New Roman"/>
                <w:sz w:val="22"/>
              </w:rPr>
            </w:pPr>
          </w:p>
        </w:tc>
      </w:tr>
      <w:tr>
        <w:trPr>
          <w:trHeight w:val="314" w:hRule="atLeast"/>
        </w:trPr>
        <w:tc>
          <w:tcPr>
            <w:tcW w:w="1143" w:type="dxa"/>
            <w:tcBorders>
              <w:top w:val="nil"/>
            </w:tcBorders>
          </w:tcPr>
          <w:p>
            <w:pPr>
              <w:pStyle w:val="TableParagraph"/>
              <w:rPr>
                <w:rFonts w:ascii="Times New Roman"/>
                <w:sz w:val="22"/>
              </w:rPr>
            </w:pPr>
          </w:p>
        </w:tc>
        <w:tc>
          <w:tcPr>
            <w:tcW w:w="1171" w:type="dxa"/>
            <w:tcBorders>
              <w:top w:val="nil"/>
            </w:tcBorders>
          </w:tcPr>
          <w:p>
            <w:pPr>
              <w:pStyle w:val="TableParagraph"/>
              <w:rPr>
                <w:rFonts w:ascii="Times New Roman"/>
                <w:sz w:val="22"/>
              </w:rPr>
            </w:pPr>
          </w:p>
        </w:tc>
        <w:tc>
          <w:tcPr>
            <w:tcW w:w="1256" w:type="dxa"/>
            <w:tcBorders>
              <w:top w:val="nil"/>
            </w:tcBorders>
          </w:tcPr>
          <w:p>
            <w:pPr>
              <w:pStyle w:val="TableParagraph"/>
              <w:rPr>
                <w:rFonts w:ascii="Times New Roman"/>
                <w:sz w:val="22"/>
              </w:rPr>
            </w:pPr>
          </w:p>
        </w:tc>
        <w:tc>
          <w:tcPr>
            <w:tcW w:w="3567" w:type="dxa"/>
            <w:tcBorders>
              <w:top w:val="nil"/>
            </w:tcBorders>
          </w:tcPr>
          <w:p>
            <w:pPr>
              <w:pStyle w:val="TableParagraph"/>
              <w:spacing w:line="292" w:lineRule="exact" w:before="2"/>
              <w:ind w:left="105"/>
              <w:rPr>
                <w:sz w:val="24"/>
              </w:rPr>
            </w:pPr>
            <w:r>
              <w:rPr>
                <w:spacing w:val="-1"/>
                <w:sz w:val="24"/>
              </w:rPr>
              <w:t>体运营、组织、协调。</w:t>
            </w:r>
          </w:p>
        </w:tc>
        <w:tc>
          <w:tcPr>
            <w:tcW w:w="3567" w:type="dxa"/>
            <w:tcBorders>
              <w:top w:val="nil"/>
            </w:tcBorders>
          </w:tcPr>
          <w:p>
            <w:pPr>
              <w:pStyle w:val="TableParagraph"/>
              <w:rPr>
                <w:rFonts w:ascii="Times New Roman"/>
                <w:sz w:val="22"/>
              </w:rPr>
            </w:pPr>
          </w:p>
        </w:tc>
      </w:tr>
      <w:tr>
        <w:trPr>
          <w:trHeight w:val="621" w:hRule="atLeast"/>
        </w:trPr>
        <w:tc>
          <w:tcPr>
            <w:tcW w:w="1143" w:type="dxa"/>
            <w:tcBorders>
              <w:bottom w:val="nil"/>
            </w:tcBorders>
          </w:tcPr>
          <w:p>
            <w:pPr>
              <w:pStyle w:val="TableParagraph"/>
              <w:rPr>
                <w:rFonts w:ascii="Times New Roman"/>
                <w:sz w:val="24"/>
              </w:rPr>
            </w:pPr>
          </w:p>
        </w:tc>
        <w:tc>
          <w:tcPr>
            <w:tcW w:w="1171" w:type="dxa"/>
            <w:tcBorders>
              <w:bottom w:val="nil"/>
            </w:tcBorders>
          </w:tcPr>
          <w:p>
            <w:pPr>
              <w:pStyle w:val="TableParagraph"/>
              <w:rPr>
                <w:rFonts w:ascii="Times New Roman"/>
                <w:sz w:val="24"/>
              </w:rPr>
            </w:pPr>
          </w:p>
        </w:tc>
        <w:tc>
          <w:tcPr>
            <w:tcW w:w="1256" w:type="dxa"/>
            <w:tcBorders>
              <w:bottom w:val="nil"/>
            </w:tcBorders>
          </w:tcPr>
          <w:p>
            <w:pPr>
              <w:pStyle w:val="TableParagraph"/>
              <w:spacing w:before="4"/>
              <w:rPr>
                <w:sz w:val="24"/>
              </w:rPr>
            </w:pPr>
          </w:p>
          <w:p>
            <w:pPr>
              <w:pStyle w:val="TableParagraph"/>
              <w:spacing w:line="290" w:lineRule="exact"/>
              <w:ind w:left="107"/>
              <w:rPr>
                <w:sz w:val="24"/>
              </w:rPr>
            </w:pPr>
            <w:r>
              <w:rPr>
                <w:spacing w:val="23"/>
                <w:sz w:val="24"/>
              </w:rPr>
              <w:t>相关数据</w:t>
            </w:r>
          </w:p>
        </w:tc>
        <w:tc>
          <w:tcPr>
            <w:tcW w:w="3567" w:type="dxa"/>
            <w:tcBorders>
              <w:bottom w:val="nil"/>
            </w:tcBorders>
          </w:tcPr>
          <w:p>
            <w:pPr>
              <w:pStyle w:val="TableParagraph"/>
              <w:ind w:left="105"/>
              <w:rPr>
                <w:sz w:val="24"/>
              </w:rPr>
            </w:pPr>
            <w:r>
              <w:rPr>
                <w:spacing w:val="-3"/>
                <w:sz w:val="24"/>
              </w:rPr>
              <w:t>配合制定相关数据标准、数据制</w:t>
            </w:r>
          </w:p>
          <w:p>
            <w:pPr>
              <w:pStyle w:val="TableParagraph"/>
              <w:spacing w:line="290" w:lineRule="exact" w:before="4"/>
              <w:ind w:left="105"/>
              <w:rPr>
                <w:sz w:val="24"/>
              </w:rPr>
            </w:pPr>
            <w:r>
              <w:rPr>
                <w:spacing w:val="-3"/>
                <w:sz w:val="24"/>
              </w:rPr>
              <w:t>度和规则；遵守和执行数据标准</w:t>
            </w:r>
          </w:p>
        </w:tc>
        <w:tc>
          <w:tcPr>
            <w:tcW w:w="3567" w:type="dxa"/>
            <w:tcBorders>
              <w:bottom w:val="nil"/>
            </w:tcBorders>
          </w:tcPr>
          <w:p>
            <w:pPr>
              <w:pStyle w:val="TableParagraph"/>
              <w:ind w:left="107"/>
              <w:rPr>
                <w:sz w:val="24"/>
              </w:rPr>
            </w:pPr>
            <w:r>
              <w:rPr>
                <w:spacing w:val="-20"/>
                <w:sz w:val="24"/>
              </w:rPr>
              <w:t>熟悉 </w:t>
            </w:r>
            <w:r>
              <w:rPr>
                <w:rFonts w:ascii="Times New Roman" w:eastAsia="Times New Roman"/>
                <w:sz w:val="24"/>
              </w:rPr>
              <w:t>ITIL</w:t>
            </w:r>
            <w:r>
              <w:rPr>
                <w:rFonts w:ascii="Times New Roman" w:eastAsia="Times New Roman"/>
                <w:spacing w:val="-3"/>
                <w:sz w:val="24"/>
              </w:rPr>
              <w:t> </w:t>
            </w:r>
            <w:r>
              <w:rPr>
                <w:spacing w:val="-14"/>
                <w:sz w:val="24"/>
              </w:rPr>
              <w:t>理论、业务能力、操作</w:t>
            </w:r>
          </w:p>
          <w:p>
            <w:pPr>
              <w:pStyle w:val="TableParagraph"/>
              <w:spacing w:line="290" w:lineRule="exact" w:before="4"/>
              <w:ind w:left="107"/>
              <w:rPr>
                <w:sz w:val="24"/>
              </w:rPr>
            </w:pPr>
            <w:r>
              <w:rPr>
                <w:spacing w:val="-1"/>
                <w:sz w:val="24"/>
              </w:rPr>
              <w:t>系统技术、网络、应用架构</w:t>
            </w:r>
          </w:p>
        </w:tc>
      </w:tr>
      <w:tr>
        <w:trPr>
          <w:trHeight w:val="308" w:hRule="atLeast"/>
        </w:trPr>
        <w:tc>
          <w:tcPr>
            <w:tcW w:w="1143" w:type="dxa"/>
            <w:tcBorders>
              <w:top w:val="nil"/>
              <w:bottom w:val="nil"/>
            </w:tcBorders>
          </w:tcPr>
          <w:p>
            <w:pPr>
              <w:pStyle w:val="TableParagraph"/>
              <w:rPr>
                <w:rFonts w:ascii="Times New Roman"/>
                <w:sz w:val="22"/>
              </w:rPr>
            </w:pPr>
          </w:p>
        </w:tc>
        <w:tc>
          <w:tcPr>
            <w:tcW w:w="1171" w:type="dxa"/>
            <w:tcBorders>
              <w:top w:val="nil"/>
              <w:bottom w:val="nil"/>
            </w:tcBorders>
          </w:tcPr>
          <w:p>
            <w:pPr>
              <w:pStyle w:val="TableParagraph"/>
              <w:spacing w:line="286" w:lineRule="exact" w:before="2"/>
              <w:ind w:left="107"/>
              <w:rPr>
                <w:sz w:val="24"/>
              </w:rPr>
            </w:pPr>
            <w:r>
              <w:rPr>
                <w:spacing w:val="-5"/>
                <w:sz w:val="24"/>
              </w:rPr>
              <w:t>数 据 提</w:t>
            </w:r>
          </w:p>
        </w:tc>
        <w:tc>
          <w:tcPr>
            <w:tcW w:w="1256" w:type="dxa"/>
            <w:tcBorders>
              <w:top w:val="nil"/>
              <w:bottom w:val="nil"/>
            </w:tcBorders>
          </w:tcPr>
          <w:p>
            <w:pPr>
              <w:pStyle w:val="TableParagraph"/>
              <w:spacing w:line="286" w:lineRule="exact" w:before="2"/>
              <w:ind w:left="107"/>
              <w:rPr>
                <w:sz w:val="24"/>
              </w:rPr>
            </w:pPr>
            <w:r>
              <w:rPr>
                <w:spacing w:val="23"/>
                <w:sz w:val="24"/>
              </w:rPr>
              <w:t>所有人和</w:t>
            </w:r>
          </w:p>
        </w:tc>
        <w:tc>
          <w:tcPr>
            <w:tcW w:w="3567" w:type="dxa"/>
            <w:tcBorders>
              <w:top w:val="nil"/>
              <w:bottom w:val="nil"/>
            </w:tcBorders>
          </w:tcPr>
          <w:p>
            <w:pPr>
              <w:pStyle w:val="TableParagraph"/>
              <w:spacing w:line="286" w:lineRule="exact" w:before="2"/>
              <w:ind w:left="105"/>
              <w:rPr>
                <w:sz w:val="24"/>
              </w:rPr>
            </w:pPr>
            <w:r>
              <w:rPr>
                <w:spacing w:val="-3"/>
                <w:sz w:val="24"/>
              </w:rPr>
              <w:t>管控相关的流程，根据数据标准</w:t>
            </w:r>
          </w:p>
        </w:tc>
        <w:tc>
          <w:tcPr>
            <w:tcW w:w="3567" w:type="dxa"/>
            <w:tcBorders>
              <w:top w:val="nil"/>
              <w:bottom w:val="nil"/>
            </w:tcBorders>
          </w:tcPr>
          <w:p>
            <w:pPr>
              <w:pStyle w:val="TableParagraph"/>
              <w:spacing w:line="286" w:lineRule="exact" w:before="2"/>
              <w:ind w:left="107"/>
              <w:rPr>
                <w:sz w:val="24"/>
              </w:rPr>
            </w:pPr>
            <w:r>
              <w:rPr>
                <w:spacing w:val="-1"/>
                <w:sz w:val="24"/>
              </w:rPr>
              <w:t>，具备资源规划和成本控制、</w:t>
            </w:r>
          </w:p>
        </w:tc>
      </w:tr>
      <w:tr>
        <w:trPr>
          <w:trHeight w:val="627" w:hRule="atLeast"/>
        </w:trPr>
        <w:tc>
          <w:tcPr>
            <w:tcW w:w="1143" w:type="dxa"/>
            <w:tcBorders>
              <w:top w:val="nil"/>
              <w:bottom w:val="nil"/>
            </w:tcBorders>
          </w:tcPr>
          <w:p>
            <w:pPr>
              <w:pStyle w:val="TableParagraph"/>
              <w:rPr>
                <w:rFonts w:ascii="Times New Roman"/>
                <w:sz w:val="24"/>
              </w:rPr>
            </w:pPr>
          </w:p>
        </w:tc>
        <w:tc>
          <w:tcPr>
            <w:tcW w:w="1171" w:type="dxa"/>
            <w:tcBorders>
              <w:top w:val="nil"/>
              <w:bottom w:val="nil"/>
            </w:tcBorders>
          </w:tcPr>
          <w:p>
            <w:pPr>
              <w:pStyle w:val="TableParagraph"/>
              <w:spacing w:before="6"/>
              <w:ind w:left="107"/>
              <w:rPr>
                <w:sz w:val="24"/>
              </w:rPr>
            </w:pPr>
            <w:r>
              <w:rPr>
                <w:spacing w:val="-5"/>
                <w:sz w:val="24"/>
              </w:rPr>
              <w:t>供者</w:t>
            </w:r>
          </w:p>
        </w:tc>
        <w:tc>
          <w:tcPr>
            <w:tcW w:w="1256" w:type="dxa"/>
            <w:tcBorders>
              <w:top w:val="nil"/>
              <w:bottom w:val="nil"/>
            </w:tcBorders>
          </w:tcPr>
          <w:p>
            <w:pPr>
              <w:pStyle w:val="TableParagraph"/>
              <w:spacing w:line="310" w:lineRule="atLeast"/>
              <w:ind w:left="107" w:right="70"/>
              <w:rPr>
                <w:sz w:val="24"/>
              </w:rPr>
            </w:pPr>
            <w:r>
              <w:rPr>
                <w:spacing w:val="19"/>
                <w:sz w:val="24"/>
              </w:rPr>
              <w:t>权限管理</w:t>
            </w:r>
            <w:r>
              <w:rPr>
                <w:spacing w:val="-6"/>
                <w:sz w:val="24"/>
              </w:rPr>
              <w:t>人员</w:t>
            </w:r>
          </w:p>
        </w:tc>
        <w:tc>
          <w:tcPr>
            <w:tcW w:w="3567" w:type="dxa"/>
            <w:tcBorders>
              <w:top w:val="nil"/>
              <w:bottom w:val="nil"/>
            </w:tcBorders>
          </w:tcPr>
          <w:p>
            <w:pPr>
              <w:pStyle w:val="TableParagraph"/>
              <w:spacing w:line="310" w:lineRule="atLeast"/>
              <w:ind w:left="105" w:right="80"/>
              <w:rPr>
                <w:sz w:val="24"/>
              </w:rPr>
            </w:pPr>
            <w:r>
              <w:rPr>
                <w:spacing w:val="-2"/>
                <w:sz w:val="24"/>
              </w:rPr>
              <w:t>要求提供相关数据规范。作为数</w:t>
            </w:r>
            <w:r>
              <w:rPr>
                <w:spacing w:val="16"/>
                <w:sz w:val="24"/>
              </w:rPr>
              <w:t>据出现质量问题时的主要责任</w:t>
            </w:r>
          </w:p>
        </w:tc>
        <w:tc>
          <w:tcPr>
            <w:tcW w:w="3567" w:type="dxa"/>
            <w:tcBorders>
              <w:top w:val="nil"/>
              <w:bottom w:val="nil"/>
            </w:tcBorders>
          </w:tcPr>
          <w:p>
            <w:pPr>
              <w:pStyle w:val="TableParagraph"/>
              <w:spacing w:line="310" w:lineRule="atLeast"/>
              <w:ind w:left="107" w:right="94"/>
              <w:rPr>
                <w:sz w:val="24"/>
              </w:rPr>
            </w:pPr>
            <w:r>
              <w:rPr>
                <w:spacing w:val="-11"/>
                <w:sz w:val="24"/>
              </w:rPr>
              <w:t>质量管理、数据库和过程</w:t>
            </w:r>
            <w:r>
              <w:rPr>
                <w:rFonts w:ascii="Times New Roman" w:eastAsia="Times New Roman"/>
                <w:spacing w:val="-2"/>
                <w:sz w:val="24"/>
              </w:rPr>
              <w:t>/</w:t>
            </w:r>
            <w:r>
              <w:rPr>
                <w:spacing w:val="-2"/>
                <w:sz w:val="24"/>
              </w:rPr>
              <w:t>规范设</w:t>
            </w:r>
            <w:r>
              <w:rPr>
                <w:spacing w:val="-3"/>
                <w:sz w:val="24"/>
              </w:rPr>
              <w:t>计能力，同时具备一定的大数据</w:t>
            </w:r>
          </w:p>
        </w:tc>
      </w:tr>
      <w:tr>
        <w:trPr>
          <w:trHeight w:val="314" w:hRule="atLeast"/>
        </w:trPr>
        <w:tc>
          <w:tcPr>
            <w:tcW w:w="1143" w:type="dxa"/>
            <w:tcBorders>
              <w:top w:val="nil"/>
              <w:bottom w:val="nil"/>
            </w:tcBorders>
          </w:tcPr>
          <w:p>
            <w:pPr>
              <w:pStyle w:val="TableParagraph"/>
              <w:rPr>
                <w:rFonts w:ascii="Times New Roman"/>
                <w:sz w:val="22"/>
              </w:rPr>
            </w:pPr>
          </w:p>
        </w:tc>
        <w:tc>
          <w:tcPr>
            <w:tcW w:w="1171" w:type="dxa"/>
            <w:tcBorders>
              <w:top w:val="nil"/>
            </w:tcBorders>
          </w:tcPr>
          <w:p>
            <w:pPr>
              <w:pStyle w:val="TableParagraph"/>
              <w:rPr>
                <w:rFonts w:ascii="Times New Roman"/>
                <w:sz w:val="22"/>
              </w:rPr>
            </w:pPr>
          </w:p>
        </w:tc>
        <w:tc>
          <w:tcPr>
            <w:tcW w:w="1256" w:type="dxa"/>
            <w:tcBorders>
              <w:top w:val="nil"/>
            </w:tcBorders>
          </w:tcPr>
          <w:p>
            <w:pPr>
              <w:pStyle w:val="TableParagraph"/>
              <w:rPr>
                <w:rFonts w:ascii="Times New Roman"/>
                <w:sz w:val="22"/>
              </w:rPr>
            </w:pPr>
          </w:p>
        </w:tc>
        <w:tc>
          <w:tcPr>
            <w:tcW w:w="3567" w:type="dxa"/>
            <w:tcBorders>
              <w:top w:val="nil"/>
            </w:tcBorders>
          </w:tcPr>
          <w:p>
            <w:pPr>
              <w:pStyle w:val="TableParagraph"/>
              <w:spacing w:line="292" w:lineRule="exact" w:before="2"/>
              <w:ind w:left="105"/>
              <w:rPr>
                <w:sz w:val="24"/>
              </w:rPr>
            </w:pPr>
            <w:r>
              <w:rPr>
                <w:spacing w:val="-5"/>
                <w:sz w:val="24"/>
              </w:rPr>
              <w:t>者。</w:t>
            </w:r>
          </w:p>
        </w:tc>
        <w:tc>
          <w:tcPr>
            <w:tcW w:w="3567" w:type="dxa"/>
            <w:tcBorders>
              <w:top w:val="nil"/>
            </w:tcBorders>
          </w:tcPr>
          <w:p>
            <w:pPr>
              <w:pStyle w:val="TableParagraph"/>
              <w:spacing w:line="292" w:lineRule="exact" w:before="2"/>
              <w:ind w:left="107"/>
              <w:rPr>
                <w:sz w:val="24"/>
              </w:rPr>
            </w:pPr>
            <w:r>
              <w:rPr>
                <w:spacing w:val="-2"/>
                <w:sz w:val="24"/>
              </w:rPr>
              <w:t>平台运营能力。</w:t>
            </w:r>
          </w:p>
        </w:tc>
      </w:tr>
      <w:tr>
        <w:trPr>
          <w:trHeight w:val="309" w:hRule="atLeast"/>
        </w:trPr>
        <w:tc>
          <w:tcPr>
            <w:tcW w:w="1143" w:type="dxa"/>
            <w:tcBorders>
              <w:top w:val="nil"/>
              <w:bottom w:val="nil"/>
            </w:tcBorders>
          </w:tcPr>
          <w:p>
            <w:pPr>
              <w:pStyle w:val="TableParagraph"/>
              <w:rPr>
                <w:rFonts w:ascii="Times New Roman"/>
                <w:sz w:val="22"/>
              </w:rPr>
            </w:pPr>
          </w:p>
        </w:tc>
        <w:tc>
          <w:tcPr>
            <w:tcW w:w="1171" w:type="dxa"/>
            <w:tcBorders>
              <w:bottom w:val="nil"/>
            </w:tcBorders>
          </w:tcPr>
          <w:p>
            <w:pPr>
              <w:pStyle w:val="TableParagraph"/>
              <w:rPr>
                <w:rFonts w:ascii="Times New Roman"/>
                <w:sz w:val="22"/>
              </w:rPr>
            </w:pPr>
          </w:p>
        </w:tc>
        <w:tc>
          <w:tcPr>
            <w:tcW w:w="1256" w:type="dxa"/>
            <w:tcBorders>
              <w:bottom w:val="nil"/>
            </w:tcBorders>
          </w:tcPr>
          <w:p>
            <w:pPr>
              <w:pStyle w:val="TableParagraph"/>
              <w:rPr>
                <w:rFonts w:ascii="Times New Roman"/>
                <w:sz w:val="22"/>
              </w:rPr>
            </w:pPr>
          </w:p>
        </w:tc>
        <w:tc>
          <w:tcPr>
            <w:tcW w:w="3567" w:type="dxa"/>
            <w:tcBorders>
              <w:bottom w:val="nil"/>
            </w:tcBorders>
          </w:tcPr>
          <w:p>
            <w:pPr>
              <w:pStyle w:val="TableParagraph"/>
              <w:rPr>
                <w:rFonts w:ascii="Times New Roman"/>
                <w:sz w:val="22"/>
              </w:rPr>
            </w:pPr>
          </w:p>
        </w:tc>
        <w:tc>
          <w:tcPr>
            <w:tcW w:w="3567" w:type="dxa"/>
            <w:tcBorders>
              <w:bottom w:val="nil"/>
            </w:tcBorders>
          </w:tcPr>
          <w:p>
            <w:pPr>
              <w:pStyle w:val="TableParagraph"/>
              <w:spacing w:line="290" w:lineRule="exact"/>
              <w:ind w:left="107"/>
              <w:rPr>
                <w:sz w:val="24"/>
              </w:rPr>
            </w:pPr>
            <w:r>
              <w:rPr>
                <w:spacing w:val="-1"/>
                <w:sz w:val="24"/>
              </w:rPr>
              <w:t>熟悉行业系统和工具、组件，</w:t>
            </w:r>
          </w:p>
        </w:tc>
      </w:tr>
      <w:tr>
        <w:trPr>
          <w:trHeight w:val="1247" w:hRule="atLeast"/>
        </w:trPr>
        <w:tc>
          <w:tcPr>
            <w:tcW w:w="1143" w:type="dxa"/>
            <w:tcBorders>
              <w:top w:val="nil"/>
              <w:bottom w:val="nil"/>
            </w:tcBorders>
          </w:tcPr>
          <w:p>
            <w:pPr>
              <w:pStyle w:val="TableParagraph"/>
              <w:spacing w:line="242" w:lineRule="auto" w:before="158"/>
              <w:ind w:left="107" w:right="92"/>
              <w:jc w:val="both"/>
              <w:rPr>
                <w:sz w:val="24"/>
              </w:rPr>
            </w:pPr>
            <w:r>
              <w:rPr>
                <w:spacing w:val="44"/>
                <w:sz w:val="24"/>
              </w:rPr>
              <w:t>各业务</w:t>
            </w:r>
            <w:r>
              <w:rPr>
                <w:rFonts w:ascii="Times New Roman" w:eastAsia="Times New Roman"/>
                <w:sz w:val="24"/>
              </w:rPr>
              <w:t>/</w:t>
            </w:r>
            <w:r>
              <w:rPr>
                <w:spacing w:val="-12"/>
                <w:sz w:val="24"/>
              </w:rPr>
              <w:t>技 术 部</w:t>
            </w:r>
            <w:r>
              <w:rPr>
                <w:spacing w:val="-10"/>
                <w:sz w:val="24"/>
              </w:rPr>
              <w:t>门</w:t>
            </w:r>
          </w:p>
        </w:tc>
        <w:tc>
          <w:tcPr>
            <w:tcW w:w="1171" w:type="dxa"/>
            <w:tcBorders>
              <w:top w:val="nil"/>
              <w:bottom w:val="nil"/>
            </w:tcBorders>
          </w:tcPr>
          <w:p>
            <w:pPr>
              <w:pStyle w:val="TableParagraph"/>
              <w:rPr>
                <w:sz w:val="24"/>
              </w:rPr>
            </w:pPr>
          </w:p>
          <w:p>
            <w:pPr>
              <w:pStyle w:val="TableParagraph"/>
              <w:spacing w:line="242" w:lineRule="auto" w:before="162"/>
              <w:ind w:left="107" w:right="96"/>
              <w:rPr>
                <w:sz w:val="24"/>
              </w:rPr>
            </w:pPr>
            <w:r>
              <w:rPr>
                <w:spacing w:val="-10"/>
                <w:sz w:val="24"/>
              </w:rPr>
              <w:t>数 据 开</w:t>
            </w:r>
            <w:r>
              <w:rPr>
                <w:spacing w:val="-6"/>
                <w:sz w:val="24"/>
              </w:rPr>
              <w:t>发者</w:t>
            </w:r>
          </w:p>
        </w:tc>
        <w:tc>
          <w:tcPr>
            <w:tcW w:w="1256" w:type="dxa"/>
            <w:tcBorders>
              <w:top w:val="nil"/>
              <w:bottom w:val="nil"/>
            </w:tcBorders>
          </w:tcPr>
          <w:p>
            <w:pPr>
              <w:pStyle w:val="TableParagraph"/>
              <w:rPr>
                <w:sz w:val="24"/>
              </w:rPr>
            </w:pPr>
          </w:p>
          <w:p>
            <w:pPr>
              <w:pStyle w:val="TableParagraph"/>
              <w:spacing w:line="242" w:lineRule="auto" w:before="162"/>
              <w:ind w:left="107" w:right="70"/>
              <w:rPr>
                <w:sz w:val="24"/>
              </w:rPr>
            </w:pPr>
            <w:r>
              <w:rPr>
                <w:spacing w:val="19"/>
                <w:sz w:val="24"/>
              </w:rPr>
              <w:t>数据开发</w:t>
            </w:r>
            <w:r>
              <w:rPr>
                <w:spacing w:val="-6"/>
                <w:sz w:val="24"/>
              </w:rPr>
              <w:t>人员</w:t>
            </w:r>
          </w:p>
        </w:tc>
        <w:tc>
          <w:tcPr>
            <w:tcW w:w="3567" w:type="dxa"/>
            <w:tcBorders>
              <w:top w:val="nil"/>
              <w:bottom w:val="nil"/>
            </w:tcBorders>
          </w:tcPr>
          <w:p>
            <w:pPr>
              <w:pStyle w:val="TableParagraph"/>
              <w:spacing w:line="242" w:lineRule="auto" w:before="2"/>
              <w:ind w:left="105" w:right="99"/>
              <w:jc w:val="both"/>
              <w:rPr>
                <w:sz w:val="24"/>
              </w:rPr>
            </w:pPr>
            <w:r>
              <w:rPr>
                <w:spacing w:val="-2"/>
                <w:sz w:val="24"/>
              </w:rPr>
              <w:t>负责数据开发，有责任执行数据</w:t>
            </w:r>
            <w:r>
              <w:rPr>
                <w:spacing w:val="-2"/>
                <w:sz w:val="24"/>
              </w:rPr>
              <w:t>标准和数据质量内容，负责从技</w:t>
            </w:r>
            <w:r>
              <w:rPr>
                <w:spacing w:val="-3"/>
                <w:sz w:val="24"/>
              </w:rPr>
              <w:t>术角度解决数据质量问题。作为</w:t>
            </w:r>
          </w:p>
          <w:p>
            <w:pPr>
              <w:pStyle w:val="TableParagraph"/>
              <w:spacing w:line="290" w:lineRule="exact" w:before="4"/>
              <w:ind w:left="105"/>
              <w:rPr>
                <w:sz w:val="24"/>
              </w:rPr>
            </w:pPr>
            <w:r>
              <w:rPr>
                <w:spacing w:val="18"/>
                <w:sz w:val="24"/>
              </w:rPr>
              <w:t>数据出现质量问题时的次要责</w:t>
            </w:r>
          </w:p>
        </w:tc>
        <w:tc>
          <w:tcPr>
            <w:tcW w:w="3567" w:type="dxa"/>
            <w:tcBorders>
              <w:top w:val="nil"/>
              <w:bottom w:val="nil"/>
            </w:tcBorders>
          </w:tcPr>
          <w:p>
            <w:pPr>
              <w:pStyle w:val="TableParagraph"/>
              <w:spacing w:line="242" w:lineRule="auto" w:before="2"/>
              <w:ind w:left="107" w:right="87"/>
              <w:jc w:val="both"/>
              <w:rPr>
                <w:sz w:val="24"/>
              </w:rPr>
            </w:pPr>
            <w:r>
              <w:rPr>
                <w:spacing w:val="-2"/>
                <w:sz w:val="24"/>
              </w:rPr>
              <w:t>数据传输、存储、计算和分析，</w:t>
            </w:r>
            <w:r>
              <w:rPr>
                <w:spacing w:val="-2"/>
                <w:sz w:val="24"/>
              </w:rPr>
              <w:t>运营支持系统，和运维效率和监</w:t>
            </w:r>
            <w:r>
              <w:rPr>
                <w:spacing w:val="-3"/>
                <w:sz w:val="24"/>
              </w:rPr>
              <w:t>控的相关知识；具备系统规划和</w:t>
            </w:r>
          </w:p>
          <w:p>
            <w:pPr>
              <w:pStyle w:val="TableParagraph"/>
              <w:spacing w:line="290" w:lineRule="exact" w:before="4"/>
              <w:ind w:left="107"/>
              <w:rPr>
                <w:sz w:val="24"/>
              </w:rPr>
            </w:pPr>
            <w:r>
              <w:rPr>
                <w:spacing w:val="-3"/>
                <w:sz w:val="24"/>
              </w:rPr>
              <w:t>设计、技术开发、数据分析和建</w:t>
            </w:r>
          </w:p>
        </w:tc>
      </w:tr>
      <w:tr>
        <w:trPr>
          <w:trHeight w:val="308" w:hRule="atLeast"/>
        </w:trPr>
        <w:tc>
          <w:tcPr>
            <w:tcW w:w="1143" w:type="dxa"/>
            <w:tcBorders>
              <w:top w:val="nil"/>
              <w:bottom w:val="nil"/>
            </w:tcBorders>
          </w:tcPr>
          <w:p>
            <w:pPr>
              <w:pStyle w:val="TableParagraph"/>
              <w:rPr>
                <w:rFonts w:ascii="Times New Roman"/>
                <w:sz w:val="22"/>
              </w:rPr>
            </w:pPr>
          </w:p>
        </w:tc>
        <w:tc>
          <w:tcPr>
            <w:tcW w:w="1171" w:type="dxa"/>
            <w:tcBorders>
              <w:top w:val="nil"/>
              <w:bottom w:val="nil"/>
            </w:tcBorders>
          </w:tcPr>
          <w:p>
            <w:pPr>
              <w:pStyle w:val="TableParagraph"/>
              <w:rPr>
                <w:rFonts w:ascii="Times New Roman"/>
                <w:sz w:val="22"/>
              </w:rPr>
            </w:pPr>
          </w:p>
        </w:tc>
        <w:tc>
          <w:tcPr>
            <w:tcW w:w="1256" w:type="dxa"/>
            <w:tcBorders>
              <w:top w:val="nil"/>
              <w:bottom w:val="nil"/>
            </w:tcBorders>
          </w:tcPr>
          <w:p>
            <w:pPr>
              <w:pStyle w:val="TableParagraph"/>
              <w:rPr>
                <w:rFonts w:ascii="Times New Roman"/>
                <w:sz w:val="22"/>
              </w:rPr>
            </w:pPr>
          </w:p>
        </w:tc>
        <w:tc>
          <w:tcPr>
            <w:tcW w:w="3567" w:type="dxa"/>
            <w:tcBorders>
              <w:top w:val="nil"/>
              <w:bottom w:val="nil"/>
            </w:tcBorders>
          </w:tcPr>
          <w:p>
            <w:pPr>
              <w:pStyle w:val="TableParagraph"/>
              <w:spacing w:line="286" w:lineRule="exact" w:before="2"/>
              <w:ind w:left="105"/>
              <w:rPr>
                <w:sz w:val="24"/>
              </w:rPr>
            </w:pPr>
            <w:r>
              <w:rPr>
                <w:spacing w:val="-4"/>
                <w:sz w:val="24"/>
              </w:rPr>
              <w:t>任者。</w:t>
            </w:r>
          </w:p>
        </w:tc>
        <w:tc>
          <w:tcPr>
            <w:tcW w:w="3567" w:type="dxa"/>
            <w:tcBorders>
              <w:top w:val="nil"/>
              <w:bottom w:val="nil"/>
            </w:tcBorders>
          </w:tcPr>
          <w:p>
            <w:pPr>
              <w:pStyle w:val="TableParagraph"/>
              <w:spacing w:line="286" w:lineRule="exact" w:before="2"/>
              <w:ind w:left="107"/>
              <w:rPr>
                <w:sz w:val="24"/>
              </w:rPr>
            </w:pPr>
            <w:r>
              <w:rPr>
                <w:spacing w:val="-3"/>
                <w:sz w:val="24"/>
              </w:rPr>
              <w:t>模、测试设计能力，具备一定的</w:t>
            </w:r>
          </w:p>
        </w:tc>
      </w:tr>
      <w:tr>
        <w:trPr>
          <w:trHeight w:val="318" w:hRule="atLeast"/>
        </w:trPr>
        <w:tc>
          <w:tcPr>
            <w:tcW w:w="1143" w:type="dxa"/>
            <w:tcBorders>
              <w:top w:val="nil"/>
              <w:bottom w:val="nil"/>
            </w:tcBorders>
          </w:tcPr>
          <w:p>
            <w:pPr>
              <w:pStyle w:val="TableParagraph"/>
              <w:rPr>
                <w:rFonts w:ascii="Times New Roman"/>
                <w:sz w:val="24"/>
              </w:rPr>
            </w:pPr>
          </w:p>
        </w:tc>
        <w:tc>
          <w:tcPr>
            <w:tcW w:w="1171" w:type="dxa"/>
            <w:tcBorders>
              <w:top w:val="nil"/>
            </w:tcBorders>
          </w:tcPr>
          <w:p>
            <w:pPr>
              <w:pStyle w:val="TableParagraph"/>
              <w:rPr>
                <w:rFonts w:ascii="Times New Roman"/>
                <w:sz w:val="24"/>
              </w:rPr>
            </w:pPr>
          </w:p>
        </w:tc>
        <w:tc>
          <w:tcPr>
            <w:tcW w:w="1256" w:type="dxa"/>
            <w:tcBorders>
              <w:top w:val="nil"/>
            </w:tcBorders>
          </w:tcPr>
          <w:p>
            <w:pPr>
              <w:pStyle w:val="TableParagraph"/>
              <w:rPr>
                <w:rFonts w:ascii="Times New Roman"/>
                <w:sz w:val="24"/>
              </w:rPr>
            </w:pPr>
          </w:p>
        </w:tc>
        <w:tc>
          <w:tcPr>
            <w:tcW w:w="3567" w:type="dxa"/>
            <w:tcBorders>
              <w:top w:val="nil"/>
            </w:tcBorders>
          </w:tcPr>
          <w:p>
            <w:pPr>
              <w:pStyle w:val="TableParagraph"/>
              <w:rPr>
                <w:rFonts w:ascii="Times New Roman"/>
                <w:sz w:val="24"/>
              </w:rPr>
            </w:pPr>
          </w:p>
        </w:tc>
        <w:tc>
          <w:tcPr>
            <w:tcW w:w="3567" w:type="dxa"/>
            <w:tcBorders>
              <w:top w:val="nil"/>
            </w:tcBorders>
          </w:tcPr>
          <w:p>
            <w:pPr>
              <w:pStyle w:val="TableParagraph"/>
              <w:spacing w:line="292" w:lineRule="exact" w:before="6"/>
              <w:ind w:left="107" w:right="-29"/>
              <w:rPr>
                <w:sz w:val="24"/>
              </w:rPr>
            </w:pPr>
            <w:r>
              <w:rPr>
                <w:rFonts w:ascii="Times New Roman" w:eastAsia="Times New Roman"/>
                <w:w w:val="95"/>
                <w:sz w:val="24"/>
              </w:rPr>
              <w:t>DevOps</w:t>
            </w:r>
            <w:r>
              <w:rPr>
                <w:rFonts w:ascii="Times New Roman" w:eastAsia="Times New Roman"/>
                <w:spacing w:val="37"/>
                <w:sz w:val="24"/>
              </w:rPr>
              <w:t>  </w:t>
            </w:r>
            <w:r>
              <w:rPr>
                <w:w w:val="95"/>
                <w:sz w:val="24"/>
              </w:rPr>
              <w:t>与</w:t>
            </w:r>
            <w:r>
              <w:rPr>
                <w:w w:val="95"/>
                <w:sz w:val="24"/>
              </w:rPr>
              <w:t>大</w:t>
            </w:r>
            <w:r>
              <w:rPr>
                <w:w w:val="95"/>
                <w:sz w:val="24"/>
              </w:rPr>
              <w:t>数</w:t>
            </w:r>
            <w:r>
              <w:rPr>
                <w:w w:val="95"/>
                <w:sz w:val="24"/>
              </w:rPr>
              <w:t>据</w:t>
            </w:r>
            <w:r>
              <w:rPr>
                <w:w w:val="95"/>
                <w:sz w:val="24"/>
              </w:rPr>
              <w:t>平</w:t>
            </w:r>
            <w:r>
              <w:rPr>
                <w:w w:val="95"/>
                <w:sz w:val="24"/>
              </w:rPr>
              <w:t>台</w:t>
            </w:r>
            <w:r>
              <w:rPr>
                <w:w w:val="95"/>
                <w:sz w:val="24"/>
              </w:rPr>
              <w:t>开</w:t>
            </w:r>
            <w:r>
              <w:rPr>
                <w:w w:val="95"/>
                <w:sz w:val="24"/>
              </w:rPr>
              <w:t>发</w:t>
            </w:r>
            <w:r>
              <w:rPr>
                <w:w w:val="95"/>
                <w:sz w:val="24"/>
              </w:rPr>
              <w:t>能</w:t>
            </w:r>
            <w:r>
              <w:rPr>
                <w:w w:val="95"/>
                <w:sz w:val="24"/>
              </w:rPr>
              <w:t>力</w:t>
            </w:r>
            <w:r>
              <w:rPr>
                <w:spacing w:val="-10"/>
                <w:w w:val="95"/>
                <w:sz w:val="24"/>
              </w:rPr>
              <w:t>。</w:t>
            </w:r>
          </w:p>
        </w:tc>
      </w:tr>
      <w:tr>
        <w:trPr>
          <w:trHeight w:val="1559" w:hRule="atLeast"/>
        </w:trPr>
        <w:tc>
          <w:tcPr>
            <w:tcW w:w="1143" w:type="dxa"/>
            <w:tcBorders>
              <w:top w:val="nil"/>
            </w:tcBorders>
          </w:tcPr>
          <w:p>
            <w:pPr>
              <w:pStyle w:val="TableParagraph"/>
              <w:rPr>
                <w:rFonts w:ascii="Times New Roman"/>
                <w:sz w:val="24"/>
              </w:rPr>
            </w:pPr>
          </w:p>
        </w:tc>
        <w:tc>
          <w:tcPr>
            <w:tcW w:w="1171" w:type="dxa"/>
          </w:tcPr>
          <w:p>
            <w:pPr>
              <w:pStyle w:val="TableParagraph"/>
              <w:rPr>
                <w:sz w:val="24"/>
              </w:rPr>
            </w:pPr>
          </w:p>
          <w:p>
            <w:pPr>
              <w:pStyle w:val="TableParagraph"/>
              <w:spacing w:line="242" w:lineRule="auto" w:before="160"/>
              <w:ind w:left="107" w:right="96"/>
              <w:rPr>
                <w:sz w:val="24"/>
              </w:rPr>
            </w:pPr>
            <w:r>
              <w:rPr>
                <w:spacing w:val="-10"/>
                <w:sz w:val="24"/>
              </w:rPr>
              <w:t>数 据 消</w:t>
            </w:r>
            <w:r>
              <w:rPr>
                <w:spacing w:val="-6"/>
                <w:sz w:val="24"/>
              </w:rPr>
              <w:t>费者</w:t>
            </w:r>
          </w:p>
        </w:tc>
        <w:tc>
          <w:tcPr>
            <w:tcW w:w="1256" w:type="dxa"/>
          </w:tcPr>
          <w:p>
            <w:pPr>
              <w:pStyle w:val="TableParagraph"/>
              <w:spacing w:line="242" w:lineRule="auto"/>
              <w:ind w:left="107" w:right="70"/>
              <w:jc w:val="both"/>
              <w:rPr>
                <w:sz w:val="24"/>
              </w:rPr>
            </w:pPr>
            <w:r>
              <w:rPr>
                <w:spacing w:val="19"/>
                <w:sz w:val="24"/>
              </w:rPr>
              <w:t>数据使用</w:t>
            </w:r>
            <w:r>
              <w:rPr>
                <w:spacing w:val="19"/>
                <w:sz w:val="24"/>
              </w:rPr>
              <w:t>人员，包</w:t>
            </w:r>
            <w:r>
              <w:rPr>
                <w:spacing w:val="19"/>
                <w:sz w:val="24"/>
              </w:rPr>
              <w:t>含内部用</w:t>
            </w:r>
            <w:r>
              <w:rPr>
                <w:spacing w:val="19"/>
                <w:sz w:val="24"/>
              </w:rPr>
              <w:t>户和外部</w:t>
            </w:r>
          </w:p>
          <w:p>
            <w:pPr>
              <w:pStyle w:val="TableParagraph"/>
              <w:spacing w:line="292" w:lineRule="exact" w:before="5"/>
              <w:ind w:left="107"/>
              <w:rPr>
                <w:sz w:val="24"/>
              </w:rPr>
            </w:pPr>
            <w:r>
              <w:rPr>
                <w:spacing w:val="-5"/>
                <w:sz w:val="24"/>
              </w:rPr>
              <w:t>用户</w:t>
            </w:r>
          </w:p>
        </w:tc>
        <w:tc>
          <w:tcPr>
            <w:tcW w:w="3567" w:type="dxa"/>
          </w:tcPr>
          <w:p>
            <w:pPr>
              <w:pStyle w:val="TableParagraph"/>
              <w:spacing w:line="242" w:lineRule="auto" w:before="155"/>
              <w:ind w:left="105" w:right="80"/>
              <w:jc w:val="both"/>
              <w:rPr>
                <w:sz w:val="24"/>
              </w:rPr>
            </w:pPr>
            <w:r>
              <w:rPr>
                <w:spacing w:val="15"/>
                <w:sz w:val="24"/>
              </w:rPr>
              <w:t>作为数据资产管理平台数据的</w:t>
            </w:r>
            <w:r>
              <w:rPr>
                <w:spacing w:val="-2"/>
                <w:sz w:val="24"/>
              </w:rPr>
              <w:t>使用者，负责反馈数据效果，作</w:t>
            </w:r>
            <w:r>
              <w:rPr>
                <w:spacing w:val="15"/>
                <w:sz w:val="24"/>
              </w:rPr>
              <w:t>为数据资产管理平台数据闭环</w:t>
            </w:r>
            <w:r>
              <w:rPr>
                <w:spacing w:val="-2"/>
                <w:sz w:val="24"/>
              </w:rPr>
              <w:t>流程的发起人。</w:t>
            </w:r>
          </w:p>
        </w:tc>
        <w:tc>
          <w:tcPr>
            <w:tcW w:w="3567" w:type="dxa"/>
          </w:tcPr>
          <w:p>
            <w:pPr>
              <w:pStyle w:val="TableParagraph"/>
              <w:spacing w:line="242" w:lineRule="auto"/>
              <w:ind w:left="107" w:right="-29"/>
              <w:rPr>
                <w:sz w:val="24"/>
              </w:rPr>
            </w:pPr>
            <w:r>
              <w:rPr>
                <w:spacing w:val="-2"/>
                <w:sz w:val="24"/>
              </w:rPr>
              <w:t>熟悉数据处理、业务能力、技术</w:t>
            </w:r>
            <w:r>
              <w:rPr>
                <w:spacing w:val="-4"/>
                <w:sz w:val="24"/>
              </w:rPr>
              <w:t>知识</w:t>
            </w:r>
            <w:r>
              <w:rPr>
                <w:rFonts w:ascii="Times New Roman" w:eastAsia="Times New Roman"/>
                <w:spacing w:val="-4"/>
                <w:sz w:val="24"/>
              </w:rPr>
              <w:t>(</w:t>
            </w:r>
            <w:r>
              <w:rPr>
                <w:spacing w:val="-4"/>
                <w:sz w:val="24"/>
              </w:rPr>
              <w:t>关联知识</w:t>
            </w:r>
            <w:r>
              <w:rPr>
                <w:rFonts w:ascii="Times New Roman" w:eastAsia="Times New Roman"/>
                <w:spacing w:val="-4"/>
                <w:sz w:val="24"/>
              </w:rPr>
              <w:t>)</w:t>
            </w:r>
            <w:r>
              <w:rPr>
                <w:spacing w:val="-4"/>
                <w:sz w:val="24"/>
              </w:rPr>
              <w:t>，具备数据规划、</w:t>
            </w:r>
            <w:r>
              <w:rPr>
                <w:spacing w:val="-2"/>
                <w:sz w:val="24"/>
              </w:rPr>
              <w:t>产品应用、数据分析、技术应用</w:t>
            </w:r>
            <w:r>
              <w:rPr>
                <w:spacing w:val="-2"/>
                <w:sz w:val="24"/>
              </w:rPr>
              <w:t>和模型与算法研发能力。</w:t>
            </w:r>
          </w:p>
        </w:tc>
      </w:tr>
    </w:tbl>
    <w:p>
      <w:pPr>
        <w:pStyle w:val="BodyText"/>
        <w:rPr>
          <w:sz w:val="26"/>
        </w:rPr>
      </w:pPr>
    </w:p>
    <w:p>
      <w:pPr>
        <w:pStyle w:val="BodyText"/>
        <w:rPr>
          <w:sz w:val="26"/>
        </w:rPr>
      </w:pPr>
    </w:p>
    <w:p>
      <w:pPr>
        <w:pStyle w:val="BodyText"/>
        <w:rPr>
          <w:sz w:val="26"/>
        </w:rPr>
      </w:pPr>
    </w:p>
    <w:p>
      <w:pPr>
        <w:pStyle w:val="BodyText"/>
        <w:spacing w:before="10"/>
        <w:rPr>
          <w:sz w:val="20"/>
        </w:rPr>
      </w:pPr>
    </w:p>
    <w:p>
      <w:pPr>
        <w:spacing w:before="0"/>
        <w:ind w:left="1329" w:right="1325" w:firstLine="0"/>
        <w:jc w:val="center"/>
        <w:rPr>
          <w:rFonts w:ascii="Times New Roman"/>
          <w:sz w:val="18"/>
        </w:rPr>
      </w:pPr>
      <w:r>
        <w:rPr>
          <w:rFonts w:ascii="Times New Roman"/>
          <w:spacing w:val="-5"/>
          <w:sz w:val="18"/>
        </w:rPr>
        <w:t>25</w:t>
      </w:r>
    </w:p>
    <w:p>
      <w:pPr>
        <w:spacing w:after="0"/>
        <w:jc w:val="center"/>
        <w:rPr>
          <w:rFonts w:ascii="Times New Roman"/>
          <w:sz w:val="18"/>
        </w:rPr>
        <w:sectPr>
          <w:headerReference w:type="default" r:id="rId3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firstLine="559"/>
        <w:jc w:val="both"/>
      </w:pPr>
      <w:r>
        <w:rPr/>
        <w:drawing>
          <wp:anchor distT="0" distB="0" distL="0" distR="0" allowOverlap="1" layoutInCell="1" locked="0" behindDoc="1" simplePos="0" relativeHeight="485508608">
            <wp:simplePos x="0" y="0"/>
            <wp:positionH relativeFrom="page">
              <wp:posOffset>1498600</wp:posOffset>
            </wp:positionH>
            <wp:positionV relativeFrom="paragraph">
              <wp:posOffset>1689354</wp:posOffset>
            </wp:positionV>
            <wp:extent cx="4944675" cy="2489408"/>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40" cstate="print"/>
                    <a:stretch>
                      <a:fillRect/>
                    </a:stretch>
                  </pic:blipFill>
                  <pic:spPr>
                    <a:xfrm>
                      <a:off x="0" y="0"/>
                      <a:ext cx="4944675" cy="2489408"/>
                    </a:xfrm>
                    <a:prstGeom prst="rect">
                      <a:avLst/>
                    </a:prstGeom>
                  </pic:spPr>
                </pic:pic>
              </a:graphicData>
            </a:graphic>
          </wp:anchor>
        </w:drawing>
      </w:r>
      <w:r>
        <w:rPr>
          <w:spacing w:val="-8"/>
        </w:rPr>
        <w:t>数据认责是数据资产管理在服务各领域、各环节工作落到实处的</w:t>
      </w:r>
      <w:r>
        <w:rPr>
          <w:spacing w:val="-11"/>
        </w:rPr>
        <w:t>有效手段，通过数据角色职责开展数据认责相关工作，其主要认责流</w:t>
      </w:r>
      <w:r>
        <w:rPr/>
        <w:t>程如</w:t>
      </w:r>
      <w:hyperlink w:history="true" w:anchor="_bookmark36">
        <w:r>
          <w:rPr>
            <w:spacing w:val="-18"/>
          </w:rPr>
          <w:t>图 </w:t>
        </w:r>
        <w:r>
          <w:rPr>
            <w:rFonts w:ascii="Times New Roman" w:eastAsia="Times New Roman"/>
            <w:b/>
            <w:sz w:val="24"/>
          </w:rPr>
          <w:t>6</w:t>
        </w:r>
        <w:r>
          <w:rPr>
            <w:rFonts w:ascii="Times New Roman" w:eastAsia="Times New Roman"/>
            <w:b/>
            <w:spacing w:val="-13"/>
            <w:sz w:val="24"/>
          </w:rPr>
          <w:t> </w:t>
        </w:r>
      </w:hyperlink>
      <w:r>
        <w:rPr>
          <w:spacing w:val="-11"/>
        </w:rPr>
        <w:t>所示。具体认责条例、管理办法及相关制度流程由数据资产</w:t>
      </w:r>
      <w:r>
        <w:rPr>
          <w:spacing w:val="-2"/>
        </w:rPr>
        <w:t>管理委员会进行制定。</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7"/>
        </w:rPr>
      </w:pPr>
    </w:p>
    <w:p>
      <w:pPr>
        <w:spacing w:before="0"/>
        <w:ind w:left="1329" w:right="1151" w:firstLine="0"/>
        <w:jc w:val="center"/>
        <w:rPr>
          <w:sz w:val="24"/>
        </w:rPr>
      </w:pPr>
      <w:bookmarkStart w:name="_bookmark36" w:id="37"/>
      <w:bookmarkEnd w:id="37"/>
      <w:r>
        <w:rPr/>
      </w:r>
      <w:r>
        <w:rPr>
          <w:spacing w:val="7"/>
          <w:sz w:val="24"/>
        </w:rPr>
        <w:t>图 </w:t>
      </w:r>
      <w:r>
        <w:rPr>
          <w:rFonts w:ascii="Times New Roman" w:eastAsia="Times New Roman"/>
          <w:sz w:val="24"/>
        </w:rPr>
        <w:t>6</w:t>
      </w:r>
      <w:r>
        <w:rPr>
          <w:rFonts w:ascii="Times New Roman" w:eastAsia="Times New Roman"/>
          <w:spacing w:val="64"/>
          <w:sz w:val="24"/>
        </w:rPr>
        <w:t> </w:t>
      </w:r>
      <w:r>
        <w:rPr>
          <w:spacing w:val="13"/>
          <w:sz w:val="24"/>
        </w:rPr>
        <w:t>数据认责机制</w:t>
      </w:r>
    </w:p>
    <w:p>
      <w:pPr>
        <w:pStyle w:val="BodyText"/>
        <w:spacing w:before="1"/>
        <w:rPr>
          <w:sz w:val="33"/>
        </w:rPr>
      </w:pPr>
    </w:p>
    <w:p>
      <w:pPr>
        <w:pStyle w:val="Heading3"/>
        <w:numPr>
          <w:ilvl w:val="0"/>
          <w:numId w:val="11"/>
        </w:numPr>
        <w:tabs>
          <w:tab w:pos="2580" w:val="left" w:leader="none"/>
          <w:tab w:pos="2581" w:val="left" w:leader="none"/>
        </w:tabs>
        <w:spacing w:line="240" w:lineRule="auto" w:before="0" w:after="0"/>
        <w:ind w:left="2580" w:right="0" w:hanging="620"/>
        <w:jc w:val="left"/>
      </w:pPr>
      <w:bookmarkStart w:name="_bookmark37" w:id="38"/>
      <w:bookmarkEnd w:id="38"/>
      <w:r>
        <w:rPr>
          <w:w w:val="95"/>
        </w:rPr>
        <w:t>建</w:t>
      </w:r>
      <w:r>
        <w:rPr>
          <w:w w:val="95"/>
        </w:rPr>
        <w:t>立</w:t>
      </w:r>
      <w:r>
        <w:rPr>
          <w:w w:val="95"/>
        </w:rPr>
        <w:t>制</w:t>
      </w:r>
      <w:r>
        <w:rPr>
          <w:w w:val="95"/>
        </w:rPr>
        <w:t>度</w:t>
      </w:r>
      <w:r>
        <w:rPr>
          <w:w w:val="95"/>
        </w:rPr>
        <w:t>体</w:t>
      </w:r>
      <w:r>
        <w:rPr>
          <w:spacing w:val="-10"/>
          <w:w w:val="95"/>
        </w:rPr>
        <w:t>系</w:t>
      </w:r>
    </w:p>
    <w:p>
      <w:pPr>
        <w:pStyle w:val="BodyText"/>
        <w:spacing w:line="417" w:lineRule="auto" w:before="302"/>
        <w:ind w:left="1320" w:right="1316" w:firstLine="559"/>
        <w:jc w:val="both"/>
      </w:pPr>
      <w:r>
        <w:rPr>
          <w:spacing w:val="-8"/>
        </w:rPr>
        <w:t>为了保障活动实施和组织架构正常运转，需要建立一套覆盖数据</w:t>
      </w:r>
      <w:r>
        <w:rPr>
          <w:spacing w:val="-4"/>
        </w:rPr>
        <w:t>引入、使用、开放等整个生产运营过程的数据管理规范，从制度上保</w:t>
      </w:r>
      <w:r>
        <w:rPr>
          <w:spacing w:val="-2"/>
        </w:rPr>
        <w:t>障数据资产管理工作有据、可行、可控。</w:t>
      </w:r>
    </w:p>
    <w:p>
      <w:pPr>
        <w:pStyle w:val="BodyText"/>
        <w:spacing w:line="417" w:lineRule="auto" w:before="31"/>
        <w:ind w:left="1320" w:right="1172" w:firstLine="559"/>
      </w:pPr>
      <w:r>
        <w:rPr>
          <w:spacing w:val="-2"/>
        </w:rPr>
        <w:t>数据资产管理规范包括元数据管理规范、生命周期管理规范、数据质量管理规范以及数据安全管理规范等对应管理职能的具体规范。</w:t>
      </w:r>
      <w:r>
        <w:rPr>
          <w:spacing w:val="-2"/>
        </w:rPr>
        <w:t>在此基础上，规范需细化至接口设计、接口开发、模型设计、模型开</w:t>
      </w:r>
      <w:r>
        <w:rPr>
          <w:spacing w:val="-6"/>
        </w:rPr>
        <w:t>发、数据开放以及服务封装等内容。规范的标准一般包括基础分类标</w:t>
      </w:r>
      <w:r>
        <w:rPr>
          <w:spacing w:val="-2"/>
        </w:rPr>
        <w:t>准、命名规范要求、数据架构划分、存储与数据权限规则、元数据信</w:t>
      </w:r>
      <w:r>
        <w:rPr>
          <w:spacing w:val="-9"/>
        </w:rPr>
        <w:t>息完整性要求等。规范和标准在执行的过程中执行监控规定，要求事</w:t>
      </w:r>
    </w:p>
    <w:p>
      <w:pPr>
        <w:pStyle w:val="BodyText"/>
        <w:spacing w:before="8"/>
        <w:rPr>
          <w:sz w:val="14"/>
        </w:rPr>
      </w:pPr>
    </w:p>
    <w:p>
      <w:pPr>
        <w:spacing w:before="0"/>
        <w:ind w:left="1329" w:right="1325" w:firstLine="0"/>
        <w:jc w:val="center"/>
        <w:rPr>
          <w:rFonts w:ascii="Times New Roman"/>
          <w:sz w:val="18"/>
        </w:rPr>
      </w:pPr>
      <w:r>
        <w:rPr>
          <w:rFonts w:ascii="Times New Roman"/>
          <w:spacing w:val="-5"/>
          <w:sz w:val="18"/>
        </w:rPr>
        <w:t>26</w:t>
      </w:r>
    </w:p>
    <w:p>
      <w:pPr>
        <w:spacing w:after="0"/>
        <w:jc w:val="center"/>
        <w:rPr>
          <w:rFonts w:ascii="Times New Roman"/>
          <w:sz w:val="18"/>
        </w:rPr>
        <w:sectPr>
          <w:headerReference w:type="default" r:id="rId3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1"/>
        <w:jc w:val="both"/>
      </w:pPr>
      <w:r>
        <w:rPr/>
        <w:drawing>
          <wp:anchor distT="0" distB="0" distL="0" distR="0" allowOverlap="1" layoutInCell="1" locked="0" behindDoc="0" simplePos="0" relativeHeight="16">
            <wp:simplePos x="0" y="0"/>
            <wp:positionH relativeFrom="page">
              <wp:posOffset>1188443</wp:posOffset>
            </wp:positionH>
            <wp:positionV relativeFrom="paragraph">
              <wp:posOffset>1738602</wp:posOffset>
            </wp:positionV>
            <wp:extent cx="5678289" cy="4590288"/>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42" cstate="print"/>
                    <a:stretch>
                      <a:fillRect/>
                    </a:stretch>
                  </pic:blipFill>
                  <pic:spPr>
                    <a:xfrm>
                      <a:off x="0" y="0"/>
                      <a:ext cx="5678289" cy="4590288"/>
                    </a:xfrm>
                    <a:prstGeom prst="rect">
                      <a:avLst/>
                    </a:prstGeom>
                  </pic:spPr>
                </pic:pic>
              </a:graphicData>
            </a:graphic>
          </wp:anchor>
        </w:drawing>
      </w:r>
      <w:r>
        <w:rPr>
          <w:spacing w:val="-4"/>
        </w:rPr>
        <w:t>中检查和事后监控。事中检查指的是在开发和上线时进行控制，包括</w:t>
      </w:r>
      <w:r>
        <w:rPr>
          <w:spacing w:val="-4"/>
        </w:rPr>
        <w:t>命名规范，信息完整性，合理性等；事后监控指的是对存储周期，数</w:t>
      </w:r>
      <w:r>
        <w:rPr/>
        <w:t>据安全敏感信息和加密信息，权限赋权常态化检查。</w:t>
      </w:r>
      <w:hyperlink w:history="true" w:anchor="_bookmark38">
        <w:r>
          <w:rPr/>
          <w:t>图 </w:t>
        </w:r>
        <w:r>
          <w:rPr>
            <w:rFonts w:ascii="Times New Roman" w:eastAsia="Times New Roman"/>
          </w:rPr>
          <w:t>7</w:t>
        </w:r>
      </w:hyperlink>
      <w:r>
        <w:rPr>
          <w:rFonts w:ascii="Times New Roman" w:eastAsia="Times New Roman"/>
          <w:spacing w:val="40"/>
        </w:rPr>
        <w:t> </w:t>
      </w:r>
      <w:r>
        <w:rPr/>
        <w:t>是可参考</w:t>
      </w:r>
      <w:r>
        <w:rPr>
          <w:spacing w:val="-2"/>
        </w:rPr>
        <w:t>的一种典型的制度体系架构举例。</w:t>
      </w:r>
    </w:p>
    <w:p>
      <w:pPr>
        <w:pStyle w:val="BodyText"/>
        <w:spacing w:before="11"/>
        <w:rPr>
          <w:sz w:val="19"/>
        </w:rPr>
      </w:pPr>
    </w:p>
    <w:p>
      <w:pPr>
        <w:spacing w:before="0"/>
        <w:ind w:left="1329" w:right="1152" w:firstLine="0"/>
        <w:jc w:val="center"/>
        <w:rPr>
          <w:sz w:val="24"/>
        </w:rPr>
      </w:pPr>
      <w:bookmarkStart w:name="_bookmark38" w:id="39"/>
      <w:bookmarkEnd w:id="39"/>
      <w:r>
        <w:rPr/>
      </w:r>
      <w:r>
        <w:rPr>
          <w:spacing w:val="7"/>
          <w:sz w:val="24"/>
        </w:rPr>
        <w:t>图 </w:t>
      </w:r>
      <w:r>
        <w:rPr>
          <w:rFonts w:ascii="Times New Roman" w:eastAsia="Times New Roman"/>
          <w:sz w:val="24"/>
        </w:rPr>
        <w:t>7</w:t>
      </w:r>
      <w:r>
        <w:rPr>
          <w:rFonts w:ascii="Times New Roman" w:eastAsia="Times New Roman"/>
          <w:spacing w:val="64"/>
          <w:sz w:val="24"/>
        </w:rPr>
        <w:t> </w:t>
      </w:r>
      <w:r>
        <w:rPr>
          <w:spacing w:val="15"/>
          <w:sz w:val="24"/>
        </w:rPr>
        <w:t>一种典型的制度体系架构</w:t>
      </w:r>
    </w:p>
    <w:p>
      <w:pPr>
        <w:pStyle w:val="BodyText"/>
        <w:spacing w:before="1"/>
        <w:rPr>
          <w:sz w:val="33"/>
        </w:rPr>
      </w:pPr>
    </w:p>
    <w:p>
      <w:pPr>
        <w:pStyle w:val="Heading3"/>
        <w:numPr>
          <w:ilvl w:val="0"/>
          <w:numId w:val="11"/>
        </w:numPr>
        <w:tabs>
          <w:tab w:pos="2580" w:val="left" w:leader="none"/>
          <w:tab w:pos="2581" w:val="left" w:leader="none"/>
        </w:tabs>
        <w:spacing w:line="240" w:lineRule="auto" w:before="0" w:after="0"/>
        <w:ind w:left="2580" w:right="0" w:hanging="620"/>
        <w:jc w:val="left"/>
      </w:pPr>
      <w:bookmarkStart w:name="_bookmark39" w:id="40"/>
      <w:bookmarkEnd w:id="40"/>
      <w:r>
        <w:rPr>
          <w:w w:val="95"/>
        </w:rPr>
        <w:t>设</w:t>
      </w:r>
      <w:r>
        <w:rPr>
          <w:w w:val="95"/>
        </w:rPr>
        <w:t>置</w:t>
      </w:r>
      <w:r>
        <w:rPr>
          <w:w w:val="95"/>
        </w:rPr>
        <w:t>审</w:t>
      </w:r>
      <w:r>
        <w:rPr>
          <w:w w:val="95"/>
        </w:rPr>
        <w:t>计</w:t>
      </w:r>
      <w:r>
        <w:rPr>
          <w:w w:val="95"/>
        </w:rPr>
        <w:t>机</w:t>
      </w:r>
      <w:r>
        <w:rPr>
          <w:spacing w:val="-10"/>
          <w:w w:val="95"/>
        </w:rPr>
        <w:t>制</w:t>
      </w:r>
    </w:p>
    <w:p>
      <w:pPr>
        <w:pStyle w:val="BodyText"/>
        <w:spacing w:line="417" w:lineRule="auto" w:before="302"/>
        <w:ind w:left="1320" w:right="1315" w:firstLine="559"/>
        <w:jc w:val="both"/>
      </w:pPr>
      <w:r>
        <w:rPr>
          <w:spacing w:val="-4"/>
        </w:rPr>
        <w:t>为进一步保障、评估数据资产管理的规范、规划、组织机构、制</w:t>
      </w:r>
      <w:r>
        <w:rPr>
          <w:spacing w:val="-23"/>
        </w:rPr>
        <w:t>度体系的执行状况，保障、评估数据资产的安全性、准确性、完整性、</w:t>
      </w:r>
      <w:r>
        <w:rPr>
          <w:spacing w:val="-4"/>
        </w:rPr>
        <w:t>规范性、一致性、唯一性和时效性，需有完整的贯穿数据资产管理整</w:t>
      </w:r>
      <w:r>
        <w:rPr>
          <w:spacing w:val="-7"/>
        </w:rPr>
        <w:t>个流程的审计机制。审计方式从审计体系规范建设入手，信息技术审</w:t>
      </w:r>
    </w:p>
    <w:p>
      <w:pPr>
        <w:spacing w:before="126"/>
        <w:ind w:left="1329" w:right="1325" w:firstLine="0"/>
        <w:jc w:val="center"/>
        <w:rPr>
          <w:rFonts w:ascii="Times New Roman"/>
          <w:sz w:val="18"/>
        </w:rPr>
      </w:pPr>
      <w:r>
        <w:rPr>
          <w:rFonts w:ascii="Times New Roman"/>
          <w:spacing w:val="-5"/>
          <w:sz w:val="18"/>
        </w:rPr>
        <w:t>27</w:t>
      </w:r>
    </w:p>
    <w:p>
      <w:pPr>
        <w:spacing w:after="0"/>
        <w:jc w:val="center"/>
        <w:rPr>
          <w:rFonts w:ascii="Times New Roman"/>
          <w:sz w:val="18"/>
        </w:rPr>
        <w:sectPr>
          <w:headerReference w:type="default" r:id="rId41"/>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jc w:val="both"/>
      </w:pPr>
      <w:r>
        <w:rPr>
          <w:spacing w:val="-9"/>
        </w:rPr>
        <w:t>计方法和专职人员审计方法并行。审计对象包括数据权限使用制度及</w:t>
      </w:r>
      <w:r>
        <w:rPr>
          <w:spacing w:val="-4"/>
        </w:rPr>
        <w:t>其审批流程、日志留存管理办法、数据备份恢复管理机制、监控审计</w:t>
      </w:r>
      <w:r>
        <w:rPr>
          <w:spacing w:val="-7"/>
        </w:rPr>
        <w:t>体系规范以及安全操作方案等体系制度规范以及敏感、重要数据。数</w:t>
      </w:r>
      <w:r>
        <w:rPr>
          <w:spacing w:val="-2"/>
        </w:rPr>
        <w:t>据资产管理在实施过程中需要保障集中审计的可行性。</w:t>
      </w:r>
    </w:p>
    <w:p>
      <w:pPr>
        <w:pStyle w:val="Heading3"/>
        <w:numPr>
          <w:ilvl w:val="0"/>
          <w:numId w:val="11"/>
        </w:numPr>
        <w:tabs>
          <w:tab w:pos="2580" w:val="left" w:leader="none"/>
          <w:tab w:pos="2581" w:val="left" w:leader="none"/>
        </w:tabs>
        <w:spacing w:line="240" w:lineRule="auto" w:before="211" w:after="0"/>
        <w:ind w:left="2580" w:right="0" w:hanging="620"/>
        <w:jc w:val="left"/>
      </w:pPr>
      <w:bookmarkStart w:name="_bookmark40" w:id="41"/>
      <w:bookmarkEnd w:id="41"/>
      <w:r>
        <w:rPr>
          <w:w w:val="95"/>
        </w:rPr>
        <w:t>开</w:t>
      </w:r>
      <w:r>
        <w:rPr>
          <w:w w:val="95"/>
        </w:rPr>
        <w:t>展</w:t>
      </w:r>
      <w:r>
        <w:rPr>
          <w:w w:val="95"/>
        </w:rPr>
        <w:t>培</w:t>
      </w:r>
      <w:r>
        <w:rPr>
          <w:w w:val="95"/>
        </w:rPr>
        <w:t>训</w:t>
      </w:r>
      <w:r>
        <w:rPr>
          <w:w w:val="95"/>
        </w:rPr>
        <w:t>宣</w:t>
      </w:r>
      <w:r>
        <w:rPr>
          <w:spacing w:val="-10"/>
          <w:w w:val="95"/>
        </w:rPr>
        <w:t>贯</w:t>
      </w:r>
    </w:p>
    <w:p>
      <w:pPr>
        <w:pStyle w:val="BodyText"/>
        <w:spacing w:line="417" w:lineRule="auto" w:before="302"/>
        <w:ind w:left="1320" w:right="1179" w:firstLine="559"/>
      </w:pPr>
      <w:r>
        <w:rPr>
          <w:spacing w:val="-6"/>
        </w:rPr>
        <w:t>培训宣贯是企业实施数据资产管理进程中的重要组成部分，是数</w:t>
      </w:r>
      <w:r>
        <w:rPr>
          <w:spacing w:val="-2"/>
        </w:rPr>
        <w:t>据资产管理理论落地实践、流程执行运作的基础，是数据资产管理牵</w:t>
      </w:r>
      <w:r>
        <w:rPr>
          <w:spacing w:val="-6"/>
        </w:rPr>
        <w:t>头部门在技术部门和业务部门之间顺利开展工作的重要保障。企业需</w:t>
      </w:r>
      <w:r>
        <w:rPr>
          <w:spacing w:val="-2"/>
        </w:rPr>
        <w:t>利用现有资源，合理安排员工参与数据资产管理培训、课程。促进员</w:t>
      </w:r>
      <w:r>
        <w:rPr>
          <w:spacing w:val="-18"/>
        </w:rPr>
        <w:t>工有效培训和自我提高，提升人员的职业化水平，强化工作的标准化、</w:t>
      </w:r>
      <w:r>
        <w:rPr>
          <w:spacing w:val="-4"/>
        </w:rPr>
        <w:t>规范化。</w:t>
      </w:r>
    </w:p>
    <w:p>
      <w:pPr>
        <w:pStyle w:val="BodyText"/>
        <w:spacing w:line="417" w:lineRule="auto"/>
        <w:ind w:left="1320" w:right="1179" w:firstLine="559"/>
      </w:pPr>
      <w:r>
        <w:rPr>
          <w:spacing w:val="-2"/>
        </w:rPr>
        <w:t>企业开展数据资产管理的培训教育周期、培训内容和参与方式，</w:t>
      </w:r>
      <w:r>
        <w:rPr>
          <w:spacing w:val="-2"/>
        </w:rPr>
        <w:t>包括：行业现有数据资产管理体系课程培训，行业内、外部单位优秀</w:t>
      </w:r>
      <w:r>
        <w:rPr>
          <w:spacing w:val="-18"/>
        </w:rPr>
        <w:t>经验沟通与交流，主要参与培训人员部门内二次培训，企业优秀部门、</w:t>
      </w:r>
      <w:r>
        <w:rPr>
          <w:spacing w:val="-9"/>
        </w:rPr>
        <w:t>员工经验、案例分享，常规员工培训中添加数据资产管理培训的课程</w:t>
      </w:r>
      <w:r>
        <w:rPr>
          <w:spacing w:val="-6"/>
        </w:rPr>
        <w:t>等。</w:t>
      </w:r>
    </w:p>
    <w:p>
      <w:pPr>
        <w:pStyle w:val="BodyText"/>
        <w:spacing w:line="417" w:lineRule="auto"/>
        <w:ind w:left="1320" w:right="1175" w:firstLine="559"/>
      </w:pPr>
      <w:r>
        <w:rPr>
          <w:spacing w:val="-2"/>
        </w:rPr>
        <w:t>各企业单位需将数据资产管理纳入现有晋升、薪酬、职位资格等</w:t>
      </w:r>
      <w:r>
        <w:rPr>
          <w:spacing w:val="-12"/>
        </w:rPr>
        <w:t>体系范畴，建立员工职业发展通道。根据现实工作环境中完成任务的</w:t>
      </w:r>
      <w:r>
        <w:rPr>
          <w:spacing w:val="-2"/>
        </w:rPr>
        <w:t>能力，设立数据资产管理相关奖项，对优秀的个人、团队进行奖励，</w:t>
      </w:r>
      <w:r>
        <w:rPr>
          <w:spacing w:val="-2"/>
        </w:rPr>
        <w:t>树立行业、员工优秀模范，引导员工树立不断学习，激发员工不断改</w:t>
      </w:r>
      <w:r>
        <w:rPr>
          <w:spacing w:val="-2"/>
        </w:rPr>
        <w:t>进工作，提高工作质量和工作效率。</w:t>
      </w:r>
    </w:p>
    <w:p>
      <w:pPr>
        <w:pStyle w:val="BodyText"/>
        <w:spacing w:before="10"/>
        <w:rPr>
          <w:sz w:val="26"/>
        </w:rPr>
      </w:pPr>
    </w:p>
    <w:p>
      <w:pPr>
        <w:spacing w:before="93"/>
        <w:ind w:left="1329" w:right="1325" w:firstLine="0"/>
        <w:jc w:val="center"/>
        <w:rPr>
          <w:rFonts w:ascii="Times New Roman"/>
          <w:sz w:val="18"/>
        </w:rPr>
      </w:pPr>
      <w:r>
        <w:rPr>
          <w:rFonts w:ascii="Times New Roman"/>
          <w:spacing w:val="-5"/>
          <w:sz w:val="18"/>
        </w:rPr>
        <w:t>28</w:t>
      </w:r>
    </w:p>
    <w:p>
      <w:pPr>
        <w:spacing w:after="0"/>
        <w:jc w:val="center"/>
        <w:rPr>
          <w:rFonts w:ascii="Times New Roman"/>
          <w:sz w:val="18"/>
        </w:rPr>
        <w:sectPr>
          <w:headerReference w:type="default" r:id="rId43"/>
          <w:pgSz w:w="11910" w:h="16840"/>
          <w:pgMar w:header="877" w:footer="0" w:top="1100" w:bottom="280" w:left="480" w:right="480"/>
        </w:sectPr>
      </w:pPr>
    </w:p>
    <w:p>
      <w:pPr>
        <w:pStyle w:val="BodyText"/>
        <w:rPr>
          <w:rFonts w:ascii="Times New Roman"/>
          <w:sz w:val="20"/>
        </w:rPr>
      </w:pPr>
    </w:p>
    <w:p>
      <w:pPr>
        <w:pStyle w:val="Heading3"/>
        <w:spacing w:before="197"/>
        <w:ind w:left="1961" w:firstLine="0"/>
        <w:rPr>
          <w:rFonts w:ascii="黑体" w:eastAsia="黑体"/>
        </w:rPr>
      </w:pPr>
      <w:bookmarkStart w:name="_bookmark41" w:id="42"/>
      <w:bookmarkEnd w:id="42"/>
      <w:r>
        <w:rPr/>
      </w:r>
      <w:r>
        <w:rPr>
          <w:rFonts w:ascii="黑体" w:eastAsia="黑体"/>
          <w:spacing w:val="8"/>
        </w:rPr>
        <w:t>三、  数</w:t>
      </w:r>
      <w:r>
        <w:rPr>
          <w:rFonts w:ascii="黑体" w:eastAsia="黑体"/>
        </w:rPr>
        <w:t>据</w:t>
      </w:r>
      <w:r>
        <w:rPr>
          <w:rFonts w:ascii="黑体" w:eastAsia="黑体"/>
        </w:rPr>
        <w:t>资</w:t>
      </w:r>
      <w:r>
        <w:rPr>
          <w:rFonts w:ascii="黑体" w:eastAsia="黑体"/>
        </w:rPr>
        <w:t>产</w:t>
      </w:r>
      <w:r>
        <w:rPr>
          <w:rFonts w:ascii="黑体" w:eastAsia="黑体"/>
        </w:rPr>
        <w:t>管</w:t>
      </w:r>
      <w:r>
        <w:rPr>
          <w:rFonts w:ascii="黑体" w:eastAsia="黑体"/>
        </w:rPr>
        <w:t>理</w:t>
      </w:r>
      <w:r>
        <w:rPr>
          <w:rFonts w:ascii="黑体" w:eastAsia="黑体"/>
        </w:rPr>
        <w:t>的</w:t>
      </w:r>
      <w:r>
        <w:rPr>
          <w:rFonts w:ascii="黑体" w:eastAsia="黑体"/>
        </w:rPr>
        <w:t>实</w:t>
      </w:r>
      <w:r>
        <w:rPr>
          <w:rFonts w:ascii="黑体" w:eastAsia="黑体"/>
        </w:rPr>
        <w:t>施</w:t>
      </w:r>
      <w:r>
        <w:rPr>
          <w:rFonts w:ascii="黑体" w:eastAsia="黑体"/>
        </w:rPr>
        <w:t>要</w:t>
      </w:r>
      <w:r>
        <w:rPr>
          <w:rFonts w:ascii="黑体" w:eastAsia="黑体"/>
          <w:spacing w:val="-10"/>
        </w:rPr>
        <w:t>点</w:t>
      </w:r>
    </w:p>
    <w:p>
      <w:pPr>
        <w:pStyle w:val="BodyText"/>
        <w:spacing w:before="7"/>
        <w:rPr>
          <w:rFonts w:ascii="黑体"/>
          <w:sz w:val="23"/>
        </w:rPr>
      </w:pPr>
    </w:p>
    <w:p>
      <w:pPr>
        <w:pStyle w:val="BodyText"/>
        <w:ind w:left="1879"/>
      </w:pPr>
      <w:r>
        <w:rPr/>
        <w:t>完整的企业或机构大数据能力的构建步骤一般是</w:t>
      </w:r>
      <w:r>
        <w:rPr>
          <w:rFonts w:ascii="Times New Roman" w:hAnsi="Times New Roman" w:eastAsia="Times New Roman"/>
        </w:rPr>
        <w:t>“</w:t>
      </w:r>
      <w:r>
        <w:rPr>
          <w:spacing w:val="-2"/>
        </w:rPr>
        <w:t>建立组织架构</w:t>
      </w:r>
    </w:p>
    <w:p>
      <w:pPr>
        <w:pStyle w:val="BodyText"/>
        <w:spacing w:line="417" w:lineRule="auto" w:before="265"/>
        <w:ind w:left="1320" w:right="1308"/>
        <w:jc w:val="both"/>
      </w:pPr>
      <w:r>
        <w:rPr>
          <w:rFonts w:ascii="Times New Roman" w:hAnsi="Times New Roman" w:eastAsia="Times New Roman"/>
          <w:spacing w:val="-2"/>
        </w:rPr>
        <w:t>→</w:t>
      </w:r>
      <w:r>
        <w:rPr>
          <w:spacing w:val="-2"/>
        </w:rPr>
        <w:t>应用需求梳理</w:t>
      </w:r>
      <w:r>
        <w:rPr>
          <w:rFonts w:ascii="Times New Roman" w:hAnsi="Times New Roman" w:eastAsia="Times New Roman"/>
          <w:spacing w:val="-2"/>
        </w:rPr>
        <w:t>→</w:t>
      </w:r>
      <w:r>
        <w:rPr>
          <w:spacing w:val="-2"/>
        </w:rPr>
        <w:t>数据盘点梳理</w:t>
      </w:r>
      <w:r>
        <w:rPr>
          <w:rFonts w:ascii="Times New Roman" w:hAnsi="Times New Roman" w:eastAsia="Times New Roman"/>
          <w:spacing w:val="-2"/>
        </w:rPr>
        <w:t>→</w:t>
      </w:r>
      <w:r>
        <w:rPr>
          <w:spacing w:val="-2"/>
        </w:rPr>
        <w:t>引进平台技术</w:t>
      </w:r>
      <w:r>
        <w:rPr>
          <w:rFonts w:ascii="Times New Roman" w:hAnsi="Times New Roman" w:eastAsia="Times New Roman"/>
          <w:spacing w:val="-2"/>
        </w:rPr>
        <w:t>→</w:t>
      </w:r>
      <w:r>
        <w:rPr>
          <w:spacing w:val="-2"/>
        </w:rPr>
        <w:t>汇聚多源数据</w:t>
      </w:r>
      <w:r>
        <w:rPr>
          <w:rFonts w:ascii="Times New Roman" w:hAnsi="Times New Roman" w:eastAsia="Times New Roman"/>
          <w:spacing w:val="-2"/>
        </w:rPr>
        <w:t>→</w:t>
      </w:r>
      <w:r>
        <w:rPr>
          <w:spacing w:val="-2"/>
        </w:rPr>
        <w:t>治理数据</w:t>
      </w:r>
      <w:r>
        <w:rPr>
          <w:rFonts w:ascii="Times New Roman" w:hAnsi="Times New Roman" w:eastAsia="Times New Roman"/>
          <w:spacing w:val="-2"/>
        </w:rPr>
        <w:t>→</w:t>
      </w:r>
      <w:r>
        <w:rPr>
          <w:spacing w:val="-2"/>
        </w:rPr>
        <w:t>数据应用</w:t>
      </w:r>
      <w:r>
        <w:rPr>
          <w:rFonts w:ascii="Times New Roman" w:hAnsi="Times New Roman" w:eastAsia="Times New Roman"/>
          <w:spacing w:val="-2"/>
        </w:rPr>
        <w:t>→</w:t>
      </w:r>
      <w:r>
        <w:rPr>
          <w:spacing w:val="-2"/>
        </w:rPr>
        <w:t>数据运营</w:t>
      </w:r>
      <w:r>
        <w:rPr>
          <w:rFonts w:ascii="Times New Roman" w:hAnsi="Times New Roman" w:eastAsia="Times New Roman"/>
          <w:spacing w:val="-2"/>
        </w:rPr>
        <w:t>”</w:t>
      </w:r>
      <w:r>
        <w:rPr>
          <w:spacing w:val="-2"/>
        </w:rPr>
        <w:t>等。数据资产管理以数据价值为导</w:t>
      </w:r>
      <w:r>
        <w:rPr>
          <w:spacing w:val="-4"/>
        </w:rPr>
        <w:t>向，分布在大数据能力构建的多个环节。本章将主要围绕数据资产管</w:t>
      </w:r>
      <w:r>
        <w:rPr>
          <w:spacing w:val="-4"/>
        </w:rPr>
        <w:t>理，具体阐述实施步骤、主要工具平台的功能，并基于实践经验，提</w:t>
      </w:r>
      <w:r>
        <w:rPr>
          <w:spacing w:val="-9"/>
        </w:rPr>
        <w:t>出数据资产管理成功的要素。数据成熟度不同的企业或单位开展数据</w:t>
      </w:r>
      <w:r>
        <w:rPr>
          <w:spacing w:val="-2"/>
        </w:rPr>
        <w:t>资产管理的具体步骤和实施内容要根据自身情况制定。</w:t>
      </w:r>
    </w:p>
    <w:p>
      <w:pPr>
        <w:pStyle w:val="Heading2"/>
        <w:spacing w:before="211"/>
        <w:ind w:left="1961"/>
      </w:pPr>
      <w:bookmarkStart w:name="_bookmark42" w:id="43"/>
      <w:bookmarkEnd w:id="43"/>
      <w:r>
        <w:rPr>
          <w:b w:val="0"/>
        </w:rPr>
      </w:r>
      <w:r>
        <w:rPr>
          <w:rFonts w:ascii="Times New Roman" w:eastAsia="Times New Roman"/>
        </w:rPr>
        <w:t>(</w:t>
      </w:r>
      <w:r>
        <w:rPr/>
        <w:t>一</w:t>
      </w:r>
      <w:r>
        <w:rPr>
          <w:rFonts w:ascii="Times New Roman" w:eastAsia="Times New Roman"/>
          <w:spacing w:val="-2"/>
        </w:rPr>
        <w:t>) </w:t>
      </w:r>
      <w:r>
        <w:rPr/>
        <w:t>实</w:t>
      </w:r>
      <w:r>
        <w:rPr/>
        <w:t>施</w:t>
      </w:r>
      <w:r>
        <w:rPr/>
        <w:t>步</w:t>
      </w:r>
      <w:r>
        <w:rPr>
          <w:spacing w:val="-10"/>
        </w:rPr>
        <w:t>骤</w:t>
      </w:r>
    </w:p>
    <w:p>
      <w:pPr>
        <w:pStyle w:val="BodyText"/>
        <w:spacing w:line="417" w:lineRule="auto" w:before="302"/>
        <w:ind w:left="1320" w:right="1314" w:firstLine="559"/>
        <w:jc w:val="both"/>
      </w:pPr>
      <w:r>
        <w:rPr>
          <w:spacing w:val="-2"/>
        </w:rPr>
        <w:t>数据资产管理可参考按照</w:t>
      </w:r>
      <w:r>
        <w:rPr>
          <w:rFonts w:ascii="Times New Roman" w:hAnsi="Times New Roman" w:eastAsia="Times New Roman"/>
          <w:spacing w:val="-2"/>
        </w:rPr>
        <w:t>“</w:t>
      </w:r>
      <w:r>
        <w:rPr>
          <w:spacing w:val="-2"/>
        </w:rPr>
        <w:t>统筹规划</w:t>
      </w:r>
      <w:r>
        <w:rPr>
          <w:rFonts w:ascii="Times New Roman" w:hAnsi="Times New Roman" w:eastAsia="Times New Roman"/>
          <w:spacing w:val="-2"/>
        </w:rPr>
        <w:t>→</w:t>
      </w:r>
      <w:r>
        <w:rPr>
          <w:spacing w:val="-2"/>
        </w:rPr>
        <w:t>管理实施</w:t>
      </w:r>
      <w:r>
        <w:rPr>
          <w:rFonts w:ascii="Times New Roman" w:hAnsi="Times New Roman" w:eastAsia="Times New Roman"/>
          <w:spacing w:val="-2"/>
        </w:rPr>
        <w:t>→</w:t>
      </w:r>
      <w:r>
        <w:rPr>
          <w:spacing w:val="-2"/>
        </w:rPr>
        <w:t>稽核检查</w:t>
      </w:r>
      <w:r>
        <w:rPr>
          <w:rFonts w:ascii="Times New Roman" w:hAnsi="Times New Roman" w:eastAsia="Times New Roman"/>
          <w:spacing w:val="-2"/>
        </w:rPr>
        <w:t>→</w:t>
      </w:r>
      <w:r>
        <w:rPr>
          <w:spacing w:val="-2"/>
        </w:rPr>
        <w:t>资</w:t>
      </w:r>
      <w:r>
        <w:rPr/>
        <w:t>产运营</w:t>
      </w:r>
      <w:r>
        <w:rPr>
          <w:rFonts w:ascii="Times New Roman" w:hAnsi="Times New Roman" w:eastAsia="Times New Roman"/>
        </w:rPr>
        <w:t>”</w:t>
      </w:r>
      <w:r>
        <w:rPr/>
        <w:t>四个阶段的方法策略执行，每个阶段对应的管理职能如</w:t>
      </w:r>
      <w:hyperlink w:history="true" w:anchor="_bookmark43">
        <w:r>
          <w:rPr/>
          <w:t>图 </w:t>
        </w:r>
        <w:r>
          <w:rPr>
            <w:rFonts w:ascii="Times New Roman" w:hAnsi="Times New Roman" w:eastAsia="Times New Roman"/>
          </w:rPr>
          <w:t>8</w:t>
        </w:r>
      </w:hyperlink>
      <w:r>
        <w:rPr>
          <w:spacing w:val="-4"/>
        </w:rPr>
        <w:t>所示。以业务应用目标为指引，企业可以按照自身数据及管理情况制</w:t>
      </w:r>
      <w:r>
        <w:rPr>
          <w:spacing w:val="-2"/>
        </w:rPr>
        <w:t>定不同的实施步骤顺序。</w:t>
      </w:r>
    </w:p>
    <w:p>
      <w:pPr>
        <w:pStyle w:val="BodyText"/>
        <w:spacing w:before="2"/>
        <w:rPr>
          <w:sz w:val="9"/>
        </w:rPr>
      </w:pPr>
      <w:r>
        <w:rPr/>
        <w:drawing>
          <wp:anchor distT="0" distB="0" distL="0" distR="0" allowOverlap="1" layoutInCell="1" locked="0" behindDoc="0" simplePos="0" relativeHeight="17">
            <wp:simplePos x="0" y="0"/>
            <wp:positionH relativeFrom="page">
              <wp:posOffset>1325030</wp:posOffset>
            </wp:positionH>
            <wp:positionV relativeFrom="paragraph">
              <wp:posOffset>90059</wp:posOffset>
            </wp:positionV>
            <wp:extent cx="5111503" cy="2990088"/>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45" cstate="print"/>
                    <a:stretch>
                      <a:fillRect/>
                    </a:stretch>
                  </pic:blipFill>
                  <pic:spPr>
                    <a:xfrm>
                      <a:off x="0" y="0"/>
                      <a:ext cx="5111503" cy="2990088"/>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17"/>
        </w:rPr>
      </w:pPr>
    </w:p>
    <w:p>
      <w:pPr>
        <w:spacing w:before="0"/>
        <w:ind w:left="1329" w:right="1325" w:firstLine="0"/>
        <w:jc w:val="center"/>
        <w:rPr>
          <w:rFonts w:ascii="Times New Roman"/>
          <w:sz w:val="18"/>
        </w:rPr>
      </w:pPr>
      <w:r>
        <w:rPr>
          <w:rFonts w:ascii="Times New Roman"/>
          <w:spacing w:val="-5"/>
          <w:sz w:val="18"/>
        </w:rPr>
        <w:t>29</w:t>
      </w:r>
    </w:p>
    <w:p>
      <w:pPr>
        <w:spacing w:after="0"/>
        <w:jc w:val="center"/>
        <w:rPr>
          <w:rFonts w:ascii="Times New Roman"/>
          <w:sz w:val="18"/>
        </w:rPr>
        <w:sectPr>
          <w:headerReference w:type="default" r:id="rId44"/>
          <w:pgSz w:w="11910" w:h="16840"/>
          <w:pgMar w:header="877" w:footer="0" w:top="1100" w:bottom="280" w:left="480" w:right="480"/>
        </w:sectPr>
      </w:pPr>
    </w:p>
    <w:p>
      <w:pPr>
        <w:pStyle w:val="BodyText"/>
        <w:spacing w:before="7"/>
        <w:rPr>
          <w:rFonts w:ascii="Times New Roman"/>
        </w:rPr>
      </w:pPr>
    </w:p>
    <w:p>
      <w:pPr>
        <w:spacing w:before="74"/>
        <w:ind w:left="1329" w:right="1152" w:firstLine="0"/>
        <w:jc w:val="center"/>
        <w:rPr>
          <w:sz w:val="24"/>
        </w:rPr>
      </w:pPr>
      <w:bookmarkStart w:name="_bookmark43" w:id="44"/>
      <w:bookmarkEnd w:id="44"/>
      <w:r>
        <w:rPr/>
      </w:r>
      <w:r>
        <w:rPr>
          <w:spacing w:val="7"/>
          <w:sz w:val="24"/>
        </w:rPr>
        <w:t>图 </w:t>
      </w:r>
      <w:r>
        <w:rPr>
          <w:rFonts w:ascii="Times New Roman" w:eastAsia="Times New Roman"/>
          <w:sz w:val="24"/>
        </w:rPr>
        <w:t>8</w:t>
      </w:r>
      <w:r>
        <w:rPr>
          <w:rFonts w:ascii="Times New Roman" w:eastAsia="Times New Roman"/>
          <w:spacing w:val="64"/>
          <w:sz w:val="24"/>
        </w:rPr>
        <w:t> </w:t>
      </w:r>
      <w:r>
        <w:rPr>
          <w:spacing w:val="15"/>
          <w:sz w:val="24"/>
        </w:rPr>
        <w:t>数据资产管理实施方法论</w:t>
      </w:r>
    </w:p>
    <w:p>
      <w:pPr>
        <w:pStyle w:val="BodyText"/>
        <w:spacing w:before="1"/>
        <w:rPr>
          <w:sz w:val="33"/>
        </w:rPr>
      </w:pPr>
    </w:p>
    <w:p>
      <w:pPr>
        <w:pStyle w:val="Heading3"/>
        <w:numPr>
          <w:ilvl w:val="0"/>
          <w:numId w:val="12"/>
        </w:numPr>
        <w:tabs>
          <w:tab w:pos="2580" w:val="left" w:leader="none"/>
          <w:tab w:pos="2581" w:val="left" w:leader="none"/>
        </w:tabs>
        <w:spacing w:line="240" w:lineRule="auto" w:before="0" w:after="0"/>
        <w:ind w:left="2580" w:right="0" w:hanging="620"/>
        <w:jc w:val="left"/>
      </w:pPr>
      <w:bookmarkStart w:name="_bookmark44" w:id="45"/>
      <w:bookmarkEnd w:id="45"/>
      <w:r>
        <w:rPr>
          <w:w w:val="95"/>
        </w:rPr>
        <w:t>第</w:t>
      </w:r>
      <w:r>
        <w:rPr>
          <w:w w:val="95"/>
        </w:rPr>
        <w:t>一</w:t>
      </w:r>
      <w:r>
        <w:rPr>
          <w:w w:val="95"/>
        </w:rPr>
        <w:t>阶</w:t>
      </w:r>
      <w:r>
        <w:rPr>
          <w:w w:val="95"/>
        </w:rPr>
        <w:t>段：</w:t>
      </w:r>
      <w:r>
        <w:rPr>
          <w:w w:val="95"/>
        </w:rPr>
        <w:t>统</w:t>
      </w:r>
      <w:r>
        <w:rPr>
          <w:w w:val="95"/>
        </w:rPr>
        <w:t>筹</w:t>
      </w:r>
      <w:r>
        <w:rPr>
          <w:spacing w:val="-5"/>
          <w:w w:val="95"/>
        </w:rPr>
        <w:t>规划</w:t>
      </w:r>
    </w:p>
    <w:p>
      <w:pPr>
        <w:pStyle w:val="BodyText"/>
        <w:spacing w:line="417" w:lineRule="auto" w:before="302"/>
        <w:ind w:left="1320" w:right="1318" w:firstLine="559"/>
        <w:jc w:val="both"/>
      </w:pPr>
      <w:r>
        <w:rPr>
          <w:spacing w:val="-10"/>
        </w:rPr>
        <w:t>第一阶段是统筹规划过程，涉及建立数据资产管理组织和制度作</w:t>
      </w:r>
      <w:r>
        <w:rPr>
          <w:spacing w:val="-4"/>
        </w:rPr>
        <w:t>为保障措施，盘点数据资产，制定数据资产标准规范等，该阶段成果</w:t>
      </w:r>
      <w:r>
        <w:rPr>
          <w:spacing w:val="-2"/>
        </w:rPr>
        <w:t>是后续工作的基础。</w:t>
      </w:r>
    </w:p>
    <w:p>
      <w:pPr>
        <w:pStyle w:val="BodyText"/>
        <w:spacing w:line="417" w:lineRule="auto"/>
        <w:ind w:left="1320" w:right="1315" w:firstLine="559"/>
        <w:jc w:val="both"/>
      </w:pPr>
      <w:r>
        <w:rPr>
          <w:spacing w:val="-4"/>
        </w:rPr>
        <w:t>一般情况下，数据资产管理的</w:t>
      </w:r>
      <w:r>
        <w:rPr>
          <w:rFonts w:ascii="黑体" w:eastAsia="黑体"/>
          <w:spacing w:val="-4"/>
        </w:rPr>
        <w:t>第一步</w:t>
      </w:r>
      <w:r>
        <w:rPr>
          <w:spacing w:val="-4"/>
        </w:rPr>
        <w:t>是建立组织责任体系，根据</w:t>
      </w:r>
      <w:r>
        <w:rPr>
          <w:spacing w:val="-9"/>
        </w:rPr>
        <w:t>自身情况，制定数据资产管理制度规范。需要建立一套独立完整的关</w:t>
      </w:r>
      <w:r>
        <w:rPr>
          <w:spacing w:val="-6"/>
        </w:rPr>
        <w:t>于数据资产管理的组织机构，明确各级角色和职责，确定兼职专职人</w:t>
      </w:r>
      <w:r>
        <w:rPr>
          <w:spacing w:val="-4"/>
        </w:rPr>
        <w:t>员，保障数据资产管理的各项管理办法、工作流程的实施，推进工作</w:t>
      </w:r>
      <w:r>
        <w:rPr>
          <w:spacing w:val="-2"/>
        </w:rPr>
        <w:t>的有序开展，并逐步打造管理及技术的专业人才团队。</w:t>
      </w:r>
    </w:p>
    <w:p>
      <w:pPr>
        <w:pStyle w:val="BodyText"/>
        <w:spacing w:line="417" w:lineRule="auto"/>
        <w:ind w:left="1320" w:right="1175" w:firstLine="559"/>
      </w:pPr>
      <w:r>
        <w:rPr>
          <w:rFonts w:ascii="黑体" w:eastAsia="黑体"/>
          <w:spacing w:val="-2"/>
        </w:rPr>
        <w:t>第二步</w:t>
      </w:r>
      <w:r>
        <w:rPr>
          <w:spacing w:val="-10"/>
        </w:rPr>
        <w:t>是结合业务盘点数据资产。对基础数据的盘点是开展数据</w:t>
      </w:r>
      <w:r>
        <w:rPr>
          <w:spacing w:val="-2"/>
        </w:rPr>
        <w:t>资产管理工作的前提之一，需要分析企业战略及业务现状，结合当前</w:t>
      </w:r>
      <w:r>
        <w:rPr>
          <w:spacing w:val="-2"/>
        </w:rPr>
        <w:t>大数据现状及未来发展，盘点企业内外部数据现状，确立数据资产管</w:t>
      </w:r>
      <w:r>
        <w:rPr>
          <w:spacing w:val="-2"/>
        </w:rPr>
        <w:t>理的目标，并逐渐实施需求调研、盘点资产、采集汇聚等专题任务。</w:t>
      </w:r>
      <w:r>
        <w:rPr>
          <w:spacing w:val="-2"/>
        </w:rPr>
        <w:t>与此同时，了解企业数据来源、数据采集手段和硬件设备情况，以定</w:t>
      </w:r>
      <w:r>
        <w:rPr>
          <w:spacing w:val="-2"/>
        </w:rPr>
        <w:t>位自身数据资产管理能力，规划未来数据资产管理成熟度提升方案。</w:t>
      </w:r>
    </w:p>
    <w:p>
      <w:pPr>
        <w:pStyle w:val="BodyText"/>
        <w:spacing w:line="417" w:lineRule="auto"/>
        <w:ind w:left="1320" w:right="1037" w:firstLine="559"/>
      </w:pPr>
      <w:r>
        <w:rPr>
          <w:rFonts w:ascii="黑体" w:eastAsia="黑体"/>
          <w:spacing w:val="-2"/>
        </w:rPr>
        <w:t>第三步</w:t>
      </w:r>
      <w:r>
        <w:rPr>
          <w:spacing w:val="-9"/>
        </w:rPr>
        <w:t>是制定数据资产相关的标准规范。标准规范包括元数据标</w:t>
      </w:r>
      <w:r>
        <w:rPr>
          <w:spacing w:val="-2"/>
        </w:rPr>
        <w:t> 准、核心业务指标数据标准、业务系统数据模型标准、主数据标准、</w:t>
      </w:r>
      <w:r>
        <w:rPr>
          <w:spacing w:val="-12"/>
        </w:rPr>
        <w:t>关键业务稽核规则等，使得数据管理人员在工作中有明确的规则可依，</w:t>
      </w:r>
      <w:r>
        <w:rPr>
          <w:spacing w:val="-2"/>
        </w:rPr>
        <w:t>同时，需要对企业数据资产设计信息化管理方式，规划设计企业的数</w:t>
      </w:r>
      <w:r>
        <w:rPr>
          <w:spacing w:val="-2"/>
        </w:rPr>
        <w:t> </w:t>
      </w:r>
      <w:r>
        <w:rPr>
          <w:spacing w:val="-2"/>
        </w:rPr>
        <w:t>据仓库、元数据库、主数据库等。</w:t>
      </w:r>
    </w:p>
    <w:p>
      <w:pPr>
        <w:pStyle w:val="BodyText"/>
        <w:rPr>
          <w:sz w:val="20"/>
        </w:rPr>
      </w:pPr>
    </w:p>
    <w:p>
      <w:pPr>
        <w:pStyle w:val="BodyText"/>
        <w:rPr>
          <w:sz w:val="19"/>
        </w:rPr>
      </w:pPr>
    </w:p>
    <w:p>
      <w:pPr>
        <w:spacing w:before="92"/>
        <w:ind w:left="1329" w:right="1325" w:firstLine="0"/>
        <w:jc w:val="center"/>
        <w:rPr>
          <w:rFonts w:ascii="Times New Roman"/>
          <w:sz w:val="18"/>
        </w:rPr>
      </w:pPr>
      <w:r>
        <w:rPr>
          <w:rFonts w:ascii="Times New Roman"/>
          <w:spacing w:val="-5"/>
          <w:sz w:val="18"/>
        </w:rPr>
        <w:t>30</w:t>
      </w:r>
    </w:p>
    <w:p>
      <w:pPr>
        <w:spacing w:after="0"/>
        <w:jc w:val="center"/>
        <w:rPr>
          <w:rFonts w:ascii="Times New Roman"/>
          <w:sz w:val="18"/>
        </w:rPr>
        <w:sectPr>
          <w:headerReference w:type="default" r:id="rId46"/>
          <w:pgSz w:w="11910" w:h="16840"/>
          <w:pgMar w:header="877" w:footer="0" w:top="1100" w:bottom="280" w:left="480" w:right="480"/>
        </w:sectPr>
      </w:pPr>
    </w:p>
    <w:p>
      <w:pPr>
        <w:pStyle w:val="BodyText"/>
        <w:rPr>
          <w:rFonts w:ascii="Times New Roman"/>
          <w:sz w:val="20"/>
        </w:rPr>
      </w:pPr>
    </w:p>
    <w:p>
      <w:pPr>
        <w:pStyle w:val="Heading3"/>
        <w:numPr>
          <w:ilvl w:val="0"/>
          <w:numId w:val="12"/>
        </w:numPr>
        <w:tabs>
          <w:tab w:pos="2580" w:val="left" w:leader="none"/>
          <w:tab w:pos="2581" w:val="left" w:leader="none"/>
        </w:tabs>
        <w:spacing w:line="240" w:lineRule="auto" w:before="197" w:after="0"/>
        <w:ind w:left="2580" w:right="0" w:hanging="620"/>
        <w:jc w:val="left"/>
      </w:pPr>
      <w:bookmarkStart w:name="_bookmark45" w:id="46"/>
      <w:bookmarkEnd w:id="46"/>
      <w:r>
        <w:rPr>
          <w:w w:val="95"/>
        </w:rPr>
        <w:t>第</w:t>
      </w:r>
      <w:r>
        <w:rPr>
          <w:w w:val="95"/>
        </w:rPr>
        <w:t>二</w:t>
      </w:r>
      <w:r>
        <w:rPr>
          <w:w w:val="95"/>
        </w:rPr>
        <w:t>阶</w:t>
      </w:r>
      <w:r>
        <w:rPr>
          <w:w w:val="95"/>
        </w:rPr>
        <w:t>段：</w:t>
      </w:r>
      <w:r>
        <w:rPr>
          <w:w w:val="95"/>
        </w:rPr>
        <w:t>管</w:t>
      </w:r>
      <w:r>
        <w:rPr>
          <w:w w:val="95"/>
        </w:rPr>
        <w:t>理</w:t>
      </w:r>
      <w:r>
        <w:rPr>
          <w:spacing w:val="-5"/>
          <w:w w:val="95"/>
        </w:rPr>
        <w:t>实施</w:t>
      </w:r>
    </w:p>
    <w:p>
      <w:pPr>
        <w:pStyle w:val="BodyText"/>
        <w:spacing w:line="417" w:lineRule="auto" w:before="302"/>
        <w:ind w:left="1320" w:right="1175" w:firstLine="559"/>
      </w:pPr>
      <w:r>
        <w:rPr>
          <w:spacing w:val="-2"/>
        </w:rPr>
        <w:t>如果说第一阶段重点还在于对数据资产的定义、规划、梳理，第</w:t>
      </w:r>
      <w:r>
        <w:rPr>
          <w:spacing w:val="-2"/>
        </w:rPr>
        <w:t>二阶段就是对第一阶段成果的落地实施。</w:t>
      </w:r>
      <w:r>
        <w:rPr>
          <w:rFonts w:ascii="黑体" w:eastAsia="黑体"/>
          <w:spacing w:val="-2"/>
        </w:rPr>
        <w:t>首先</w:t>
      </w:r>
      <w:r>
        <w:rPr>
          <w:spacing w:val="-2"/>
        </w:rPr>
        <w:t>，在搭建大数据管理平</w:t>
      </w:r>
      <w:r>
        <w:rPr>
          <w:spacing w:val="-2"/>
        </w:rPr>
        <w:t>台、完成数据汇聚工作的基础上，根据企业自身存量数据基础和增量</w:t>
      </w:r>
      <w:r>
        <w:rPr>
          <w:spacing w:val="-12"/>
        </w:rPr>
        <w:t>数据预估，建设或采购必要的数据资产管理平台或引入第三方工具以</w:t>
      </w:r>
      <w:r>
        <w:rPr>
          <w:spacing w:val="-2"/>
        </w:rPr>
        <w:t>支撑管理工作，切实建立起企业数据资产管理能力。</w:t>
      </w:r>
      <w:r>
        <w:rPr>
          <w:rFonts w:ascii="黑体" w:eastAsia="黑体"/>
          <w:spacing w:val="-2"/>
        </w:rPr>
        <w:t>其次</w:t>
      </w:r>
      <w:r>
        <w:rPr>
          <w:spacing w:val="-2"/>
        </w:rPr>
        <w:t>，要建立安</w:t>
      </w:r>
      <w:r>
        <w:rPr>
          <w:spacing w:val="-2"/>
        </w:rPr>
        <w:t>全管理体系，防范数据安全隐患，执行数据安全管理职能。</w:t>
      </w:r>
      <w:r>
        <w:rPr>
          <w:rFonts w:ascii="黑体" w:eastAsia="黑体"/>
          <w:spacing w:val="-2"/>
        </w:rPr>
        <w:t>再次</w:t>
      </w:r>
      <w:r>
        <w:rPr>
          <w:spacing w:val="-2"/>
        </w:rPr>
        <w:t>，还</w:t>
      </w:r>
      <w:r>
        <w:rPr>
          <w:spacing w:val="-2"/>
        </w:rPr>
        <w:t>需要制定和管理主数据，以明确企业核心业务实体的数据，如客户、</w:t>
      </w:r>
      <w:r>
        <w:rPr>
          <w:spacing w:val="-2"/>
        </w:rPr>
        <w:t>合作伙伴、员工、产品、物料单、账户等，从而自动、准确、及时地</w:t>
      </w:r>
      <w:r>
        <w:rPr>
          <w:spacing w:val="-2"/>
        </w:rPr>
        <w:t>分发和分析整个企业中的数据，并对数据进行验证。</w:t>
      </w:r>
    </w:p>
    <w:p>
      <w:pPr>
        <w:pStyle w:val="BodyText"/>
        <w:spacing w:line="417" w:lineRule="auto"/>
        <w:ind w:left="1320" w:right="1315" w:firstLine="559"/>
        <w:jc w:val="both"/>
      </w:pPr>
      <w:r>
        <w:rPr>
          <w:spacing w:val="-4"/>
        </w:rPr>
        <w:t>在第二阶段里，需要从数据资产管理的相关业务、技术部门日常</w:t>
      </w:r>
      <w:r>
        <w:rPr>
          <w:spacing w:val="-4"/>
        </w:rPr>
        <w:t>工作流程入手，切实建立起企业数据资产管控能力，包括从业务角度</w:t>
      </w:r>
      <w:r>
        <w:rPr>
          <w:spacing w:val="-4"/>
        </w:rPr>
        <w:t>梳理企业数据质量规则，检测数据标准实施情况，保证数据标准规范</w:t>
      </w:r>
      <w:r>
        <w:rPr>
          <w:spacing w:val="-7"/>
        </w:rPr>
        <w:t>在企业信息系统生产环境中真正得到执行。针对关键性数据资产管理</w:t>
      </w:r>
      <w:r>
        <w:rPr>
          <w:spacing w:val="-4"/>
        </w:rPr>
        <w:t>工作，可以借助管理工具，建立数据资产的管理流程，保证相关事情</w:t>
      </w:r>
      <w:r>
        <w:rPr>
          <w:spacing w:val="-12"/>
        </w:rPr>
        <w:t>都有专人负责。第二阶段的工作目标主要是为企业打造核心的管理数</w:t>
      </w:r>
      <w:r>
        <w:rPr>
          <w:spacing w:val="-12"/>
        </w:rPr>
        <w:t>据资产的能力，同时为企业内数据资产管理部门形成数据管理的工作</w:t>
      </w:r>
      <w:r>
        <w:rPr>
          <w:spacing w:val="-2"/>
        </w:rPr>
        <w:t>环境，概括起来，就是企业数据资产可管理、可落地。</w:t>
      </w:r>
    </w:p>
    <w:p>
      <w:pPr>
        <w:pStyle w:val="Heading3"/>
        <w:numPr>
          <w:ilvl w:val="0"/>
          <w:numId w:val="12"/>
        </w:numPr>
        <w:tabs>
          <w:tab w:pos="2580" w:val="left" w:leader="none"/>
          <w:tab w:pos="2581" w:val="left" w:leader="none"/>
        </w:tabs>
        <w:spacing w:line="240" w:lineRule="auto" w:before="209" w:after="0"/>
        <w:ind w:left="2580" w:right="0" w:hanging="620"/>
        <w:jc w:val="left"/>
      </w:pPr>
      <w:bookmarkStart w:name="_bookmark46" w:id="47"/>
      <w:bookmarkEnd w:id="47"/>
      <w:r>
        <w:rPr>
          <w:w w:val="95"/>
        </w:rPr>
        <w:t>第</w:t>
      </w:r>
      <w:r>
        <w:rPr>
          <w:w w:val="95"/>
        </w:rPr>
        <w:t>三</w:t>
      </w:r>
      <w:r>
        <w:rPr>
          <w:w w:val="95"/>
        </w:rPr>
        <w:t>阶</w:t>
      </w:r>
      <w:r>
        <w:rPr>
          <w:w w:val="95"/>
        </w:rPr>
        <w:t>段：</w:t>
      </w:r>
      <w:r>
        <w:rPr>
          <w:w w:val="95"/>
        </w:rPr>
        <w:t>稽</w:t>
      </w:r>
      <w:r>
        <w:rPr>
          <w:w w:val="95"/>
        </w:rPr>
        <w:t>核</w:t>
      </w:r>
      <w:r>
        <w:rPr>
          <w:spacing w:val="-5"/>
          <w:w w:val="95"/>
        </w:rPr>
        <w:t>检查</w:t>
      </w:r>
    </w:p>
    <w:p>
      <w:pPr>
        <w:pStyle w:val="BodyText"/>
        <w:spacing w:line="417" w:lineRule="auto" w:before="295"/>
        <w:ind w:left="1320" w:right="1316" w:firstLine="559"/>
        <w:jc w:val="both"/>
      </w:pPr>
      <w:r>
        <w:rPr/>
        <w:t>稽核检查阶段是保障数据资产管理实施阶段涉及各管理职能有</w:t>
      </w:r>
      <w:r>
        <w:rPr>
          <w:spacing w:val="-4"/>
        </w:rPr>
        <w:t>效落地执行的重要一环。这个阶段包括检查数据标准执行情况、稽核</w:t>
      </w:r>
      <w:r>
        <w:rPr>
          <w:spacing w:val="-2"/>
        </w:rPr>
        <w:t>数据质量、监管数据生命周期等具体任务。</w:t>
      </w:r>
    </w:p>
    <w:p>
      <w:pPr>
        <w:spacing w:line="187" w:lineRule="exact" w:before="0"/>
        <w:ind w:left="1329" w:right="1325" w:firstLine="0"/>
        <w:jc w:val="center"/>
        <w:rPr>
          <w:rFonts w:ascii="Times New Roman"/>
          <w:sz w:val="18"/>
        </w:rPr>
      </w:pPr>
      <w:r>
        <w:rPr>
          <w:rFonts w:ascii="Times New Roman"/>
          <w:spacing w:val="-5"/>
          <w:sz w:val="18"/>
        </w:rPr>
        <w:t>31</w:t>
      </w:r>
    </w:p>
    <w:p>
      <w:pPr>
        <w:spacing w:after="0" w:line="187" w:lineRule="exact"/>
        <w:jc w:val="center"/>
        <w:rPr>
          <w:rFonts w:ascii="Times New Roman"/>
          <w:sz w:val="18"/>
        </w:rPr>
        <w:sectPr>
          <w:headerReference w:type="default" r:id="rId47"/>
          <w:pgSz w:w="11910" w:h="16840"/>
          <w:pgMar w:header="877" w:footer="0" w:top="1100" w:bottom="280" w:left="480" w:right="480"/>
        </w:sectPr>
      </w:pPr>
    </w:p>
    <w:p>
      <w:pPr>
        <w:pStyle w:val="BodyText"/>
        <w:rPr>
          <w:rFonts w:ascii="Times New Roman"/>
          <w:sz w:val="20"/>
        </w:rPr>
      </w:pPr>
    </w:p>
    <w:p>
      <w:pPr>
        <w:pStyle w:val="BodyText"/>
        <w:spacing w:before="225"/>
        <w:ind w:left="1879"/>
      </w:pPr>
      <w:r>
        <w:rPr>
          <w:spacing w:val="-2"/>
        </w:rPr>
        <w:t>这个阶段需要抓好三个</w:t>
      </w:r>
      <w:r>
        <w:rPr>
          <w:rFonts w:ascii="Times New Roman" w:hAnsi="Times New Roman" w:eastAsia="Times New Roman"/>
          <w:spacing w:val="-2"/>
        </w:rPr>
        <w:t>“</w:t>
      </w:r>
      <w:r>
        <w:rPr>
          <w:spacing w:val="-2"/>
        </w:rPr>
        <w:t>常态化</w:t>
      </w:r>
      <w:r>
        <w:rPr>
          <w:rFonts w:ascii="Times New Roman" w:hAnsi="Times New Roman" w:eastAsia="Times New Roman"/>
          <w:spacing w:val="-2"/>
        </w:rPr>
        <w:t>”</w:t>
      </w:r>
      <w:r>
        <w:rPr>
          <w:spacing w:val="-10"/>
        </w:rPr>
        <w:t>。</w:t>
      </w:r>
    </w:p>
    <w:p>
      <w:pPr>
        <w:pStyle w:val="BodyText"/>
        <w:spacing w:line="417" w:lineRule="auto" w:before="265"/>
        <w:ind w:left="1320" w:right="1316" w:firstLine="559"/>
        <w:jc w:val="both"/>
      </w:pPr>
      <w:r>
        <w:rPr>
          <w:spacing w:val="-8"/>
        </w:rPr>
        <w:t>一是数据标准执行情况检查的常态化。数据标准管理是企业数据</w:t>
      </w:r>
      <w:r>
        <w:rPr>
          <w:spacing w:val="-4"/>
        </w:rPr>
        <w:t>资产管理的基础性工作，通过数据标准管理的实施，企业可实现对大</w:t>
      </w:r>
      <w:r>
        <w:rPr>
          <w:spacing w:val="-2"/>
        </w:rPr>
        <w:t>数据平台全网数据的统一运营管理。</w:t>
      </w:r>
    </w:p>
    <w:p>
      <w:pPr>
        <w:pStyle w:val="BodyText"/>
        <w:spacing w:line="417" w:lineRule="auto"/>
        <w:ind w:left="1320" w:right="1313" w:firstLine="559"/>
        <w:jc w:val="both"/>
      </w:pPr>
      <w:r>
        <w:rPr>
          <w:spacing w:val="-6"/>
        </w:rPr>
        <w:t>二是数据质量稽核的常态化。应对数据质量问题，</w:t>
      </w:r>
      <w:r>
        <w:rPr>
          <w:rFonts w:ascii="黑体" w:hAnsi="黑体" w:eastAsia="黑体"/>
          <w:spacing w:val="-2"/>
        </w:rPr>
        <w:t>首先</w:t>
      </w:r>
      <w:r>
        <w:rPr>
          <w:spacing w:val="-2"/>
        </w:rPr>
        <w:t>要提升数</w:t>
      </w:r>
      <w:r>
        <w:rPr>
          <w:spacing w:val="-12"/>
        </w:rPr>
        <w:t>据质量意识，数据质量意识包括能够将数据质量问题与其实质影响联</w:t>
      </w:r>
      <w:r>
        <w:rPr/>
        <w:t>系起来，同时传达一种</w:t>
      </w:r>
      <w:r>
        <w:rPr>
          <w:rFonts w:ascii="Times New Roman" w:hAnsi="Times New Roman" w:eastAsia="Times New Roman"/>
        </w:rPr>
        <w:t>“</w:t>
      </w:r>
      <w:r>
        <w:rPr/>
        <w:t>数据质量问题不能仅仅依靠技术手段解决</w:t>
      </w:r>
      <w:r>
        <w:rPr>
          <w:rFonts w:ascii="Times New Roman" w:hAnsi="Times New Roman" w:eastAsia="Times New Roman"/>
        </w:rPr>
        <w:t>”</w:t>
      </w:r>
      <w:r>
        <w:rPr>
          <w:spacing w:val="-4"/>
        </w:rPr>
        <w:t>的理念。</w:t>
      </w:r>
      <w:r>
        <w:rPr>
          <w:rFonts w:ascii="黑体" w:hAnsi="黑体" w:eastAsia="黑体"/>
          <w:spacing w:val="-4"/>
        </w:rPr>
        <w:t>其次</w:t>
      </w:r>
      <w:r>
        <w:rPr>
          <w:spacing w:val="-4"/>
        </w:rPr>
        <w:t>为数据质量建立一系列流程和程序。</w:t>
      </w:r>
      <w:r>
        <w:rPr>
          <w:rFonts w:ascii="黑体" w:hAnsi="黑体" w:eastAsia="黑体"/>
          <w:spacing w:val="-4"/>
        </w:rPr>
        <w:t>最后</w:t>
      </w:r>
      <w:r>
        <w:rPr>
          <w:spacing w:val="-4"/>
        </w:rPr>
        <w:t>，应当数据质</w:t>
      </w:r>
      <w:r>
        <w:rPr>
          <w:spacing w:val="-11"/>
        </w:rPr>
        <w:t>量管理是循环管理过程，其终极目标是通过可靠的数据提升数据在使</w:t>
      </w:r>
      <w:r>
        <w:rPr>
          <w:spacing w:val="-2"/>
        </w:rPr>
        <w:t>用中的价值，提高工作效率，并最终为企业赢得经济效益。</w:t>
      </w:r>
    </w:p>
    <w:p>
      <w:pPr>
        <w:pStyle w:val="BodyText"/>
        <w:spacing w:line="417" w:lineRule="auto"/>
        <w:ind w:left="1320" w:right="1315" w:firstLine="559"/>
        <w:jc w:val="both"/>
      </w:pPr>
      <w:r>
        <w:rPr>
          <w:spacing w:val="-4"/>
        </w:rPr>
        <w:t>三是灵活配置数据存储策略的常态化。数据生命周期管理，其目</w:t>
      </w:r>
      <w:r>
        <w:rPr>
          <w:spacing w:val="-7"/>
        </w:rPr>
        <w:t>标是以完全支持企业业务目标和服务水平的需求，根据数据对企业的</w:t>
      </w:r>
      <w:r>
        <w:rPr>
          <w:spacing w:val="-4"/>
        </w:rPr>
        <w:t>价值进行分类分级，形成数据资产目录，然后制定相应的策略，确定</w:t>
      </w:r>
      <w:r>
        <w:rPr>
          <w:spacing w:val="-4"/>
        </w:rPr>
        <w:t>最优服务水平和最低成本，将数据转移到相应的存储介质上，争取以</w:t>
      </w:r>
      <w:r>
        <w:rPr>
          <w:spacing w:val="-5"/>
        </w:rPr>
        <w:t>最低的成本提供适当级别的保护、复制和恢复。借助数据生命周期管</w:t>
      </w:r>
      <w:r>
        <w:rPr>
          <w:spacing w:val="-4"/>
        </w:rPr>
        <w:t>理，企业不但能够在整个数据生命周期内充分发挥数据的潜力，还可</w:t>
      </w:r>
      <w:r>
        <w:rPr>
          <w:spacing w:val="-2"/>
        </w:rPr>
        <w:t>以按照业务要求快速对突发事件做出反应。</w:t>
      </w:r>
    </w:p>
    <w:p>
      <w:pPr>
        <w:pStyle w:val="Heading3"/>
        <w:numPr>
          <w:ilvl w:val="0"/>
          <w:numId w:val="12"/>
        </w:numPr>
        <w:tabs>
          <w:tab w:pos="2580" w:val="left" w:leader="none"/>
          <w:tab w:pos="2581" w:val="left" w:leader="none"/>
        </w:tabs>
        <w:spacing w:line="240" w:lineRule="auto" w:before="210" w:after="0"/>
        <w:ind w:left="2580" w:right="0" w:hanging="620"/>
        <w:jc w:val="left"/>
      </w:pPr>
      <w:bookmarkStart w:name="_bookmark47" w:id="48"/>
      <w:bookmarkEnd w:id="48"/>
      <w:r>
        <w:rPr>
          <w:w w:val="95"/>
        </w:rPr>
        <w:t>第</w:t>
      </w:r>
      <w:r>
        <w:rPr>
          <w:w w:val="95"/>
        </w:rPr>
        <w:t>四</w:t>
      </w:r>
      <w:r>
        <w:rPr>
          <w:w w:val="95"/>
        </w:rPr>
        <w:t>阶</w:t>
      </w:r>
      <w:r>
        <w:rPr>
          <w:w w:val="95"/>
        </w:rPr>
        <w:t>段：</w:t>
      </w:r>
      <w:r>
        <w:rPr>
          <w:w w:val="95"/>
        </w:rPr>
        <w:t>资</w:t>
      </w:r>
      <w:r>
        <w:rPr>
          <w:w w:val="95"/>
        </w:rPr>
        <w:t>产</w:t>
      </w:r>
      <w:r>
        <w:rPr>
          <w:spacing w:val="-5"/>
          <w:w w:val="95"/>
        </w:rPr>
        <w:t>运营</w:t>
      </w:r>
    </w:p>
    <w:p>
      <w:pPr>
        <w:pStyle w:val="BodyText"/>
        <w:spacing w:line="620" w:lineRule="atLeast" w:before="41"/>
        <w:ind w:left="1320" w:right="1175" w:firstLine="559"/>
      </w:pPr>
      <w:r>
        <w:rPr>
          <w:spacing w:val="-2"/>
        </w:rPr>
        <w:t>通过前三个阶段，企业已经能够建立基本的数据资产管理能力，</w:t>
      </w:r>
      <w:r>
        <w:rPr>
          <w:spacing w:val="-2"/>
        </w:rPr>
        <w:t>在此基础上，还需要具备以实现业务价值为导向，以用户为中心，为</w:t>
      </w:r>
      <w:r>
        <w:rPr>
          <w:spacing w:val="-7"/>
        </w:rPr>
        <w:t>企业内外部不同层面用户提供数据价值的能力。资产运营阶段是数据</w:t>
      </w:r>
      <w:r>
        <w:rPr>
          <w:spacing w:val="-2"/>
        </w:rPr>
        <w:t>资产管理实现价值的最终阶段，该阶段包括开展数据资产价值评估、</w:t>
      </w:r>
    </w:p>
    <w:p>
      <w:pPr>
        <w:spacing w:before="91"/>
        <w:ind w:left="1329" w:right="1325" w:firstLine="0"/>
        <w:jc w:val="center"/>
        <w:rPr>
          <w:rFonts w:ascii="Times New Roman"/>
          <w:sz w:val="18"/>
        </w:rPr>
      </w:pPr>
      <w:r>
        <w:rPr>
          <w:rFonts w:ascii="Times New Roman"/>
          <w:spacing w:val="-5"/>
          <w:sz w:val="18"/>
        </w:rPr>
        <w:t>32</w:t>
      </w:r>
    </w:p>
    <w:p>
      <w:pPr>
        <w:spacing w:after="0"/>
        <w:jc w:val="center"/>
        <w:rPr>
          <w:rFonts w:ascii="Times New Roman"/>
          <w:sz w:val="18"/>
        </w:rPr>
        <w:sectPr>
          <w:headerReference w:type="default" r:id="rId48"/>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数据资产运营流通等。</w:t>
      </w:r>
    </w:p>
    <w:p>
      <w:pPr>
        <w:pStyle w:val="BodyText"/>
        <w:spacing w:before="1"/>
        <w:rPr>
          <w:sz w:val="23"/>
        </w:rPr>
      </w:pPr>
    </w:p>
    <w:p>
      <w:pPr>
        <w:pStyle w:val="BodyText"/>
        <w:spacing w:line="417" w:lineRule="auto"/>
        <w:ind w:left="1320" w:right="1315" w:firstLine="559"/>
        <w:jc w:val="both"/>
      </w:pPr>
      <w:r>
        <w:rPr>
          <w:spacing w:val="-2"/>
        </w:rPr>
        <w:t>数据资产价值评估能够以合理的方式管理内部数据和提供对外</w:t>
      </w:r>
      <w:r>
        <w:rPr>
          <w:spacing w:val="-4"/>
        </w:rPr>
        <w:t>服务。在大数据时代，数据运营企业关于数据价值的实现是体现在数</w:t>
      </w:r>
      <w:r>
        <w:rPr/>
        <w:t>据分析、数据交易层面。 数据资产作为一种无形资产，其公允价值</w:t>
      </w:r>
      <w:r>
        <w:rPr>
          <w:spacing w:val="-2"/>
        </w:rPr>
        <w:t>的计量应当考虑市场参与者通过最佳使用资产或将其出售给最佳使</w:t>
      </w:r>
      <w:r>
        <w:rPr>
          <w:spacing w:val="-6"/>
        </w:rPr>
        <w:t>用该项资产的其他市场参与者而创造经济利益的能力。只有对数据资</w:t>
      </w:r>
      <w:r>
        <w:rPr>
          <w:spacing w:val="-11"/>
        </w:rPr>
        <w:t>产价值进行合理的评估，才能以更合理的方式管理内部数据和提供数</w:t>
      </w:r>
      <w:r>
        <w:rPr>
          <w:spacing w:val="-2"/>
        </w:rPr>
        <w:t>据对外服务。</w:t>
      </w:r>
    </w:p>
    <w:p>
      <w:pPr>
        <w:pStyle w:val="BodyText"/>
        <w:spacing w:line="417" w:lineRule="auto" w:before="31"/>
        <w:ind w:left="1320" w:right="1315" w:firstLine="559"/>
        <w:jc w:val="both"/>
      </w:pPr>
      <w:r>
        <w:rPr>
          <w:spacing w:val="-6"/>
        </w:rPr>
        <w:t>数据资产运营流通需要加强管理运营手段和方式方法，促进数据</w:t>
      </w:r>
      <w:r>
        <w:rPr>
          <w:spacing w:val="-4"/>
        </w:rPr>
        <w:t>资产对内支撑业务应用，对外形成数据服务能力，打造数据资产综合</w:t>
      </w:r>
      <w:r>
        <w:rPr>
          <w:spacing w:val="-11"/>
        </w:rPr>
        <w:t>运营能力。数据资产运营流通主要是实现数据资产价值的社会化，需</w:t>
      </w:r>
      <w:r>
        <w:rPr>
          <w:spacing w:val="-6"/>
        </w:rPr>
        <w:t>要从数据安全管理及合规性、数据资产成本及价值创造、组织结构优</w:t>
      </w:r>
      <w:r>
        <w:rPr>
          <w:spacing w:val="-5"/>
        </w:rPr>
        <w:t>化、数据质量提升等方面进行规划并不断迭代，持续优化数据资产管</w:t>
      </w:r>
      <w:r>
        <w:rPr>
          <w:spacing w:val="-4"/>
        </w:rPr>
        <w:t>理能力。</w:t>
      </w:r>
    </w:p>
    <w:p>
      <w:pPr>
        <w:pStyle w:val="Heading2"/>
        <w:spacing w:before="211"/>
      </w:pPr>
      <w:bookmarkStart w:name="_bookmark48" w:id="49"/>
      <w:bookmarkEnd w:id="49"/>
      <w:r>
        <w:rPr>
          <w:b w:val="0"/>
        </w:rPr>
      </w:r>
      <w:r>
        <w:rPr>
          <w:rFonts w:ascii="Times New Roman" w:eastAsia="Times New Roman"/>
        </w:rPr>
        <w:t>(</w:t>
      </w:r>
      <w:r>
        <w:rPr/>
        <w:t>二</w:t>
      </w:r>
      <w:r>
        <w:rPr>
          <w:rFonts w:ascii="Times New Roman" w:eastAsia="Times New Roman"/>
          <w:spacing w:val="-3"/>
        </w:rPr>
        <w:t>) </w:t>
      </w:r>
      <w:r>
        <w:rPr/>
        <w:t>实</w:t>
      </w:r>
      <w:r>
        <w:rPr/>
        <w:t>践</w:t>
      </w:r>
      <w:r>
        <w:rPr/>
        <w:t>模</w:t>
      </w:r>
      <w:r>
        <w:rPr>
          <w:spacing w:val="-10"/>
        </w:rPr>
        <w:t>式</w:t>
      </w:r>
    </w:p>
    <w:p>
      <w:pPr>
        <w:pStyle w:val="BodyText"/>
        <w:spacing w:line="417" w:lineRule="auto" w:before="302"/>
        <w:ind w:left="1320" w:right="1314" w:firstLine="559"/>
        <w:jc w:val="both"/>
      </w:pPr>
      <w:r>
        <w:rPr/>
        <w:t>数据资产管理在</w:t>
      </w:r>
      <w:r>
        <w:rPr>
          <w:rFonts w:ascii="Times New Roman" w:hAnsi="Times New Roman" w:eastAsia="Times New Roman"/>
        </w:rPr>
        <w:t>“</w:t>
      </w:r>
      <w:r>
        <w:rPr/>
        <w:t>统筹规划</w:t>
      </w:r>
      <w:r>
        <w:rPr>
          <w:rFonts w:ascii="Times New Roman" w:hAnsi="Times New Roman" w:eastAsia="Times New Roman"/>
        </w:rPr>
        <w:t>→</w:t>
      </w:r>
      <w:r>
        <w:rPr/>
        <w:t>管理实施</w:t>
      </w:r>
      <w:r>
        <w:rPr>
          <w:rFonts w:ascii="Times New Roman" w:hAnsi="Times New Roman" w:eastAsia="Times New Roman"/>
        </w:rPr>
        <w:t>→</w:t>
      </w:r>
      <w:r>
        <w:rPr/>
        <w:t>稽核检查</w:t>
      </w:r>
      <w:r>
        <w:rPr>
          <w:rFonts w:ascii="Times New Roman" w:hAnsi="Times New Roman" w:eastAsia="Times New Roman"/>
        </w:rPr>
        <w:t>→</w:t>
      </w:r>
      <w:r>
        <w:rPr/>
        <w:t>资产运营</w:t>
      </w:r>
      <w:r>
        <w:rPr>
          <w:rFonts w:ascii="Times New Roman" w:hAnsi="Times New Roman" w:eastAsia="Times New Roman"/>
        </w:rPr>
        <w:t>”</w:t>
      </w:r>
      <w:r>
        <w:rPr>
          <w:spacing w:val="-4"/>
        </w:rPr>
        <w:t>四个阶段的方法策略执行参照下，还可以根据两个思考维度，选择一</w:t>
      </w:r>
      <w:r>
        <w:rPr>
          <w:spacing w:val="-5"/>
        </w:rPr>
        <w:t>些常用的实践模式。其一是组织方式，有自上而下的顶层设计模式和</w:t>
      </w:r>
      <w:r>
        <w:rPr>
          <w:spacing w:val="-8"/>
        </w:rPr>
        <w:t>自下而上的各个击破模式两种类型；其二是建设策略，有生产系统优</w:t>
      </w:r>
      <w:r>
        <w:rPr>
          <w:spacing w:val="-2"/>
        </w:rPr>
        <w:t>先和数据系统优先两种类型。</w:t>
      </w:r>
    </w:p>
    <w:p>
      <w:pPr>
        <w:pStyle w:val="BodyText"/>
        <w:spacing w:line="358" w:lineRule="exact"/>
        <w:ind w:left="1879"/>
      </w:pPr>
      <w:r>
        <w:rPr>
          <w:spacing w:val="-12"/>
        </w:rPr>
        <w:t>在组织方式上，行业层面数据资产管理一般从顶层设计入手带动</w:t>
      </w:r>
    </w:p>
    <w:p>
      <w:pPr>
        <w:pStyle w:val="BodyText"/>
        <w:rPr>
          <w:sz w:val="20"/>
        </w:rPr>
      </w:pPr>
    </w:p>
    <w:p>
      <w:pPr>
        <w:pStyle w:val="BodyText"/>
        <w:rPr>
          <w:sz w:val="20"/>
        </w:rPr>
      </w:pPr>
    </w:p>
    <w:p>
      <w:pPr>
        <w:pStyle w:val="BodyText"/>
        <w:spacing w:before="11"/>
        <w:rPr>
          <w:sz w:val="19"/>
        </w:rPr>
      </w:pPr>
    </w:p>
    <w:p>
      <w:pPr>
        <w:spacing w:before="92"/>
        <w:ind w:left="1329" w:right="1325" w:firstLine="0"/>
        <w:jc w:val="center"/>
        <w:rPr>
          <w:rFonts w:ascii="Times New Roman"/>
          <w:sz w:val="18"/>
        </w:rPr>
      </w:pPr>
      <w:r>
        <w:rPr>
          <w:rFonts w:ascii="Times New Roman"/>
          <w:spacing w:val="-5"/>
          <w:sz w:val="18"/>
        </w:rPr>
        <w:t>33</w:t>
      </w:r>
    </w:p>
    <w:p>
      <w:pPr>
        <w:spacing w:after="0"/>
        <w:jc w:val="center"/>
        <w:rPr>
          <w:rFonts w:ascii="Times New Roman"/>
          <w:sz w:val="18"/>
        </w:rPr>
        <w:sectPr>
          <w:headerReference w:type="default" r:id="rId4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pPr>
      <w:r>
        <w:rPr>
          <w:spacing w:val="-12"/>
        </w:rPr>
        <w:t>下层建筑，而企业层面数据资产管理通常由数据资产管理需求带动技</w:t>
      </w:r>
      <w:r>
        <w:rPr/>
        <w:t>术和业务两方面并行更新换代。各模式的解释详细见</w:t>
      </w:r>
      <w:hyperlink w:history="true" w:anchor="_bookmark49">
        <w:r>
          <w:rPr/>
          <w:t>表 </w:t>
        </w:r>
        <w:r>
          <w:rPr>
            <w:rFonts w:ascii="Times New Roman" w:eastAsia="Times New Roman"/>
          </w:rPr>
          <w:t>3</w:t>
        </w:r>
      </w:hyperlink>
      <w:r>
        <w:rPr/>
        <w:t>。</w:t>
      </w:r>
    </w:p>
    <w:p>
      <w:pPr>
        <w:spacing w:line="256" w:lineRule="exact" w:before="0"/>
        <w:ind w:left="1329" w:right="1156" w:firstLine="0"/>
        <w:jc w:val="center"/>
        <w:rPr>
          <w:sz w:val="24"/>
        </w:rPr>
      </w:pPr>
      <w:bookmarkStart w:name="_bookmark49" w:id="50"/>
      <w:bookmarkEnd w:id="50"/>
      <w:r>
        <w:rPr/>
      </w:r>
      <w:r>
        <w:rPr>
          <w:spacing w:val="7"/>
          <w:sz w:val="24"/>
        </w:rPr>
        <w:t>表 </w:t>
      </w:r>
      <w:r>
        <w:rPr>
          <w:rFonts w:ascii="Times New Roman" w:eastAsia="Times New Roman"/>
          <w:sz w:val="24"/>
        </w:rPr>
        <w:t>3</w:t>
      </w:r>
      <w:r>
        <w:rPr>
          <w:rFonts w:ascii="Times New Roman" w:eastAsia="Times New Roman"/>
          <w:spacing w:val="65"/>
          <w:sz w:val="24"/>
        </w:rPr>
        <w:t> </w:t>
      </w:r>
      <w:r>
        <w:rPr>
          <w:spacing w:val="16"/>
          <w:sz w:val="24"/>
        </w:rPr>
        <w:t>不同组织方式的数据资产管理典型实践模式</w:t>
      </w:r>
    </w:p>
    <w:p>
      <w:pPr>
        <w:pStyle w:val="BodyText"/>
        <w:spacing w:before="8" w:after="1"/>
        <w:rPr>
          <w:sz w:val="21"/>
        </w:rPr>
      </w:pPr>
    </w:p>
    <w:tbl>
      <w:tblPr>
        <w:tblW w:w="0" w:type="auto"/>
        <w:jc w:val="left"/>
        <w:tblInd w:w="1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86"/>
        <w:gridCol w:w="4088"/>
        <w:gridCol w:w="3449"/>
      </w:tblGrid>
      <w:tr>
        <w:trPr>
          <w:trHeight w:val="366" w:hRule="atLeast"/>
        </w:trPr>
        <w:tc>
          <w:tcPr>
            <w:tcW w:w="986" w:type="dxa"/>
          </w:tcPr>
          <w:p>
            <w:pPr>
              <w:pStyle w:val="TableParagraph"/>
              <w:spacing w:before="46"/>
              <w:ind w:left="280"/>
              <w:rPr>
                <w:b/>
                <w:sz w:val="21"/>
              </w:rPr>
            </w:pPr>
            <w:r>
              <w:rPr>
                <w:b/>
                <w:spacing w:val="-5"/>
                <w:sz w:val="21"/>
              </w:rPr>
              <w:t>方式</w:t>
            </w:r>
          </w:p>
        </w:tc>
        <w:tc>
          <w:tcPr>
            <w:tcW w:w="4088" w:type="dxa"/>
          </w:tcPr>
          <w:p>
            <w:pPr>
              <w:pStyle w:val="TableParagraph"/>
              <w:spacing w:before="46"/>
              <w:ind w:left="1609" w:right="1587"/>
              <w:jc w:val="center"/>
              <w:rPr>
                <w:b/>
                <w:sz w:val="21"/>
              </w:rPr>
            </w:pPr>
            <w:r>
              <w:rPr>
                <w:b/>
                <w:spacing w:val="-3"/>
                <w:sz w:val="21"/>
              </w:rPr>
              <w:t>建设策略</w:t>
            </w:r>
          </w:p>
        </w:tc>
        <w:tc>
          <w:tcPr>
            <w:tcW w:w="3449" w:type="dxa"/>
          </w:tcPr>
          <w:p>
            <w:pPr>
              <w:pStyle w:val="TableParagraph"/>
              <w:spacing w:before="46"/>
              <w:ind w:left="1392" w:right="1375"/>
              <w:jc w:val="center"/>
              <w:rPr>
                <w:b/>
                <w:sz w:val="21"/>
              </w:rPr>
            </w:pPr>
            <w:r>
              <w:rPr>
                <w:b/>
                <w:spacing w:val="-4"/>
                <w:sz w:val="21"/>
              </w:rPr>
              <w:t>优缺点</w:t>
            </w:r>
          </w:p>
        </w:tc>
      </w:tr>
      <w:tr>
        <w:trPr>
          <w:trHeight w:val="971" w:hRule="atLeast"/>
        </w:trPr>
        <w:tc>
          <w:tcPr>
            <w:tcW w:w="986" w:type="dxa"/>
          </w:tcPr>
          <w:p>
            <w:pPr>
              <w:pStyle w:val="TableParagraph"/>
              <w:spacing w:before="8"/>
              <w:rPr>
                <w:sz w:val="19"/>
              </w:rPr>
            </w:pPr>
          </w:p>
          <w:p>
            <w:pPr>
              <w:pStyle w:val="TableParagraph"/>
              <w:spacing w:line="213" w:lineRule="auto"/>
              <w:ind w:left="282" w:right="49" w:hanging="212"/>
              <w:rPr>
                <w:sz w:val="21"/>
              </w:rPr>
            </w:pPr>
            <w:r>
              <w:rPr>
                <w:spacing w:val="-4"/>
                <w:sz w:val="21"/>
              </w:rPr>
              <w:t>自上而下</w:t>
            </w:r>
            <w:r>
              <w:rPr>
                <w:spacing w:val="-6"/>
                <w:sz w:val="21"/>
              </w:rPr>
              <w:t>模式</w:t>
            </w:r>
          </w:p>
        </w:tc>
        <w:tc>
          <w:tcPr>
            <w:tcW w:w="4088" w:type="dxa"/>
          </w:tcPr>
          <w:p>
            <w:pPr>
              <w:pStyle w:val="TableParagraph"/>
              <w:spacing w:before="8"/>
              <w:rPr>
                <w:sz w:val="19"/>
              </w:rPr>
            </w:pPr>
          </w:p>
          <w:p>
            <w:pPr>
              <w:pStyle w:val="TableParagraph"/>
              <w:spacing w:line="213" w:lineRule="auto"/>
              <w:ind w:left="1202" w:right="23" w:hanging="1155"/>
              <w:rPr>
                <w:sz w:val="21"/>
              </w:rPr>
            </w:pPr>
            <w:r>
              <w:rPr>
                <w:spacing w:val="-2"/>
                <w:sz w:val="21"/>
              </w:rPr>
              <w:t>规划先行，组织体系先行，随后是分阶段分</w:t>
            </w:r>
            <w:r>
              <w:rPr>
                <w:spacing w:val="-2"/>
                <w:sz w:val="21"/>
              </w:rPr>
              <w:t>步骤的建设实施。</w:t>
            </w:r>
          </w:p>
        </w:tc>
        <w:tc>
          <w:tcPr>
            <w:tcW w:w="3449" w:type="dxa"/>
          </w:tcPr>
          <w:p>
            <w:pPr>
              <w:pStyle w:val="TableParagraph"/>
              <w:spacing w:line="213" w:lineRule="auto" w:before="132"/>
              <w:ind w:left="43" w:right="18"/>
              <w:rPr>
                <w:sz w:val="21"/>
              </w:rPr>
            </w:pPr>
            <w:r>
              <w:rPr>
                <w:spacing w:val="-2"/>
                <w:sz w:val="21"/>
              </w:rPr>
              <w:t>有体系和节奏，规范性好，适合有分</w:t>
            </w:r>
            <w:r>
              <w:rPr>
                <w:spacing w:val="-2"/>
                <w:sz w:val="21"/>
              </w:rPr>
              <w:t>支机构的大型企业；</w:t>
            </w:r>
          </w:p>
          <w:p>
            <w:pPr>
              <w:pStyle w:val="TableParagraph"/>
              <w:spacing w:line="247" w:lineRule="exact"/>
              <w:ind w:left="43"/>
              <w:rPr>
                <w:sz w:val="21"/>
              </w:rPr>
            </w:pPr>
            <w:r>
              <w:rPr>
                <w:spacing w:val="-3"/>
                <w:sz w:val="21"/>
              </w:rPr>
              <w:t>时间和投入成本很大，见效慢。</w:t>
            </w:r>
          </w:p>
        </w:tc>
      </w:tr>
      <w:tr>
        <w:trPr>
          <w:trHeight w:val="976" w:hRule="atLeast"/>
        </w:trPr>
        <w:tc>
          <w:tcPr>
            <w:tcW w:w="986" w:type="dxa"/>
          </w:tcPr>
          <w:p>
            <w:pPr>
              <w:pStyle w:val="TableParagraph"/>
              <w:spacing w:before="10"/>
              <w:rPr>
                <w:sz w:val="19"/>
              </w:rPr>
            </w:pPr>
          </w:p>
          <w:p>
            <w:pPr>
              <w:pStyle w:val="TableParagraph"/>
              <w:spacing w:line="213" w:lineRule="auto" w:before="1"/>
              <w:ind w:left="282" w:right="49" w:hanging="212"/>
              <w:rPr>
                <w:sz w:val="21"/>
              </w:rPr>
            </w:pPr>
            <w:r>
              <w:rPr>
                <w:spacing w:val="-4"/>
                <w:sz w:val="21"/>
              </w:rPr>
              <w:t>由下而上</w:t>
            </w:r>
            <w:r>
              <w:rPr>
                <w:spacing w:val="-6"/>
                <w:sz w:val="21"/>
              </w:rPr>
              <w:t>模式</w:t>
            </w:r>
          </w:p>
        </w:tc>
        <w:tc>
          <w:tcPr>
            <w:tcW w:w="4088" w:type="dxa"/>
          </w:tcPr>
          <w:p>
            <w:pPr>
              <w:pStyle w:val="TableParagraph"/>
              <w:spacing w:before="10"/>
              <w:rPr>
                <w:sz w:val="19"/>
              </w:rPr>
            </w:pPr>
          </w:p>
          <w:p>
            <w:pPr>
              <w:pStyle w:val="TableParagraph"/>
              <w:spacing w:line="213" w:lineRule="auto" w:before="1"/>
              <w:ind w:left="887" w:right="23" w:hanging="840"/>
              <w:rPr>
                <w:sz w:val="21"/>
              </w:rPr>
            </w:pPr>
            <w:r>
              <w:rPr>
                <w:spacing w:val="-2"/>
                <w:sz w:val="21"/>
              </w:rPr>
              <w:t>从具体某一业务需求开始，由点及面，逐渐</w:t>
            </w:r>
            <w:r>
              <w:rPr>
                <w:spacing w:val="-2"/>
                <w:sz w:val="21"/>
              </w:rPr>
              <w:t>扩展到组织的其他业务。</w:t>
            </w:r>
          </w:p>
        </w:tc>
        <w:tc>
          <w:tcPr>
            <w:tcW w:w="3449" w:type="dxa"/>
          </w:tcPr>
          <w:p>
            <w:pPr>
              <w:pStyle w:val="TableParagraph"/>
              <w:spacing w:line="255" w:lineRule="exact" w:before="111"/>
              <w:ind w:left="43"/>
              <w:rPr>
                <w:sz w:val="21"/>
              </w:rPr>
            </w:pPr>
            <w:r>
              <w:rPr>
                <w:spacing w:val="-3"/>
                <w:sz w:val="21"/>
              </w:rPr>
              <w:t>需求驱动，快速行动，见效快；</w:t>
            </w:r>
          </w:p>
          <w:p>
            <w:pPr>
              <w:pStyle w:val="TableParagraph"/>
              <w:spacing w:line="213" w:lineRule="auto" w:before="8"/>
              <w:ind w:left="43" w:right="18"/>
              <w:rPr>
                <w:sz w:val="21"/>
              </w:rPr>
            </w:pPr>
            <w:r>
              <w:rPr>
                <w:spacing w:val="-2"/>
                <w:sz w:val="21"/>
              </w:rPr>
              <w:t>统一整合比较困难，适合机构和业务</w:t>
            </w:r>
            <w:r>
              <w:rPr>
                <w:spacing w:val="-2"/>
                <w:sz w:val="21"/>
              </w:rPr>
              <w:t>不多的中小型机构。</w:t>
            </w:r>
          </w:p>
        </w:tc>
      </w:tr>
    </w:tbl>
    <w:p>
      <w:pPr>
        <w:pStyle w:val="BodyText"/>
        <w:spacing w:before="9"/>
        <w:rPr>
          <w:sz w:val="34"/>
        </w:rPr>
      </w:pPr>
    </w:p>
    <w:p>
      <w:pPr>
        <w:pStyle w:val="BodyText"/>
        <w:spacing w:line="417" w:lineRule="auto"/>
        <w:ind w:left="1320" w:right="1318" w:firstLine="559"/>
        <w:jc w:val="both"/>
      </w:pPr>
      <w:r>
        <w:rPr>
          <w:spacing w:val="-9"/>
        </w:rPr>
        <w:t>在建设策略方面，一般从生产系统入手或数据系统入手。从生产</w:t>
      </w:r>
      <w:r>
        <w:rPr>
          <w:spacing w:val="-2"/>
        </w:rPr>
        <w:t>系统入手的常用建设模式包括企业数据模型建设模式以及主数据建</w:t>
      </w:r>
      <w:r>
        <w:rPr>
          <w:spacing w:val="-13"/>
        </w:rPr>
        <w:t>设模式。从数据系统入手的常用建设模式包括统一数据平台模式和数</w:t>
      </w:r>
      <w:r>
        <w:rPr/>
        <w:t>据集市模式。各模式的解释详细见</w:t>
      </w:r>
      <w:hyperlink w:history="true" w:anchor="_bookmark50">
        <w:r>
          <w:rPr/>
          <w:t>表 </w:t>
        </w:r>
        <w:r>
          <w:rPr>
            <w:rFonts w:ascii="Times New Roman" w:eastAsia="Times New Roman"/>
          </w:rPr>
          <w:t>4</w:t>
        </w:r>
      </w:hyperlink>
      <w:r>
        <w:rPr/>
        <w:t>。</w:t>
      </w:r>
    </w:p>
    <w:p>
      <w:pPr>
        <w:spacing w:line="255" w:lineRule="exact" w:before="0"/>
        <w:ind w:left="1329" w:right="1157" w:firstLine="0"/>
        <w:jc w:val="center"/>
        <w:rPr>
          <w:sz w:val="24"/>
        </w:rPr>
      </w:pPr>
      <w:bookmarkStart w:name="_bookmark50" w:id="51"/>
      <w:bookmarkEnd w:id="51"/>
      <w:r>
        <w:rPr/>
      </w:r>
      <w:r>
        <w:rPr>
          <w:spacing w:val="7"/>
          <w:sz w:val="24"/>
        </w:rPr>
        <w:t>表 </w:t>
      </w:r>
      <w:r>
        <w:rPr>
          <w:rFonts w:ascii="Times New Roman" w:eastAsia="Times New Roman"/>
          <w:sz w:val="24"/>
        </w:rPr>
        <w:t>4</w:t>
      </w:r>
      <w:r>
        <w:rPr>
          <w:rFonts w:ascii="Times New Roman" w:eastAsia="Times New Roman"/>
          <w:spacing w:val="65"/>
          <w:sz w:val="24"/>
        </w:rPr>
        <w:t> </w:t>
      </w:r>
      <w:r>
        <w:rPr>
          <w:spacing w:val="16"/>
          <w:sz w:val="24"/>
        </w:rPr>
        <w:t>不同建设策略的数据资产管理典型实践模式</w:t>
      </w:r>
    </w:p>
    <w:p>
      <w:pPr>
        <w:pStyle w:val="BodyText"/>
        <w:spacing w:before="10"/>
        <w:rPr>
          <w:sz w:val="21"/>
        </w:rPr>
      </w:pPr>
    </w:p>
    <w:tbl>
      <w:tblPr>
        <w:tblW w:w="0" w:type="auto"/>
        <w:jc w:val="left"/>
        <w:tblInd w:w="1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7"/>
        <w:gridCol w:w="2636"/>
        <w:gridCol w:w="4854"/>
      </w:tblGrid>
      <w:tr>
        <w:trPr>
          <w:trHeight w:val="347" w:hRule="atLeast"/>
        </w:trPr>
        <w:tc>
          <w:tcPr>
            <w:tcW w:w="727" w:type="dxa"/>
          </w:tcPr>
          <w:p>
            <w:pPr>
              <w:pStyle w:val="TableParagraph"/>
              <w:spacing w:before="37"/>
              <w:ind w:left="150"/>
              <w:rPr>
                <w:b/>
                <w:sz w:val="21"/>
              </w:rPr>
            </w:pPr>
            <w:r>
              <w:rPr>
                <w:b/>
                <w:spacing w:val="-5"/>
                <w:sz w:val="21"/>
              </w:rPr>
              <w:t>方式</w:t>
            </w:r>
          </w:p>
        </w:tc>
        <w:tc>
          <w:tcPr>
            <w:tcW w:w="2636" w:type="dxa"/>
          </w:tcPr>
          <w:p>
            <w:pPr>
              <w:pStyle w:val="TableParagraph"/>
              <w:spacing w:before="37"/>
              <w:ind w:left="53" w:right="35"/>
              <w:jc w:val="center"/>
              <w:rPr>
                <w:b/>
                <w:sz w:val="21"/>
              </w:rPr>
            </w:pPr>
            <w:r>
              <w:rPr>
                <w:b/>
                <w:spacing w:val="-2"/>
                <w:sz w:val="21"/>
              </w:rPr>
              <w:t>细分建设方式</w:t>
            </w:r>
          </w:p>
        </w:tc>
        <w:tc>
          <w:tcPr>
            <w:tcW w:w="4854" w:type="dxa"/>
          </w:tcPr>
          <w:p>
            <w:pPr>
              <w:pStyle w:val="TableParagraph"/>
              <w:spacing w:before="37"/>
              <w:ind w:left="59" w:right="41"/>
              <w:jc w:val="center"/>
              <w:rPr>
                <w:b/>
                <w:sz w:val="21"/>
              </w:rPr>
            </w:pPr>
            <w:r>
              <w:rPr>
                <w:b/>
                <w:spacing w:val="-3"/>
                <w:sz w:val="21"/>
              </w:rPr>
              <w:t>建设策略</w:t>
            </w:r>
          </w:p>
        </w:tc>
      </w:tr>
      <w:tr>
        <w:trPr>
          <w:trHeight w:val="565" w:hRule="atLeast"/>
        </w:trPr>
        <w:tc>
          <w:tcPr>
            <w:tcW w:w="727" w:type="dxa"/>
            <w:vMerge w:val="restart"/>
          </w:tcPr>
          <w:p>
            <w:pPr>
              <w:pStyle w:val="TableParagraph"/>
              <w:rPr>
                <w:sz w:val="20"/>
              </w:rPr>
            </w:pPr>
          </w:p>
          <w:p>
            <w:pPr>
              <w:pStyle w:val="TableParagraph"/>
              <w:spacing w:before="8"/>
              <w:rPr>
                <w:sz w:val="29"/>
              </w:rPr>
            </w:pPr>
          </w:p>
          <w:p>
            <w:pPr>
              <w:pStyle w:val="TableParagraph"/>
              <w:spacing w:line="213" w:lineRule="auto"/>
              <w:ind w:left="47" w:right="23"/>
              <w:rPr>
                <w:sz w:val="21"/>
              </w:rPr>
            </w:pPr>
            <w:r>
              <w:rPr>
                <w:spacing w:val="-4"/>
                <w:sz w:val="21"/>
              </w:rPr>
              <w:t>生产系</w:t>
            </w:r>
            <w:r>
              <w:rPr>
                <w:spacing w:val="-4"/>
                <w:sz w:val="21"/>
              </w:rPr>
              <w:t>统入手</w:t>
            </w:r>
          </w:p>
        </w:tc>
        <w:tc>
          <w:tcPr>
            <w:tcW w:w="2636" w:type="dxa"/>
          </w:tcPr>
          <w:p>
            <w:pPr>
              <w:pStyle w:val="TableParagraph"/>
              <w:spacing w:before="145"/>
              <w:ind w:left="56" w:right="35"/>
              <w:jc w:val="center"/>
              <w:rPr>
                <w:sz w:val="21"/>
              </w:rPr>
            </w:pPr>
            <w:r>
              <w:rPr>
                <w:spacing w:val="-3"/>
                <w:sz w:val="21"/>
              </w:rPr>
              <w:t>大型生产系统开发建设模式</w:t>
            </w:r>
          </w:p>
        </w:tc>
        <w:tc>
          <w:tcPr>
            <w:tcW w:w="4854" w:type="dxa"/>
          </w:tcPr>
          <w:p>
            <w:pPr>
              <w:pStyle w:val="TableParagraph"/>
              <w:spacing w:line="213" w:lineRule="auto" w:before="48"/>
              <w:ind w:left="114" w:right="19" w:hanging="72"/>
              <w:rPr>
                <w:sz w:val="21"/>
              </w:rPr>
            </w:pPr>
            <w:r>
              <w:rPr>
                <w:spacing w:val="-4"/>
                <w:sz w:val="21"/>
              </w:rPr>
              <w:t>从大型生产系统开发入手，借助项目建设契机，建立</w:t>
            </w:r>
            <w:r>
              <w:rPr>
                <w:spacing w:val="-2"/>
                <w:sz w:val="21"/>
              </w:rPr>
              <w:t>该应用和业务领域数据的企业级标准和质量管控。</w:t>
            </w:r>
          </w:p>
        </w:tc>
      </w:tr>
      <w:tr>
        <w:trPr>
          <w:trHeight w:val="568" w:hRule="atLeast"/>
        </w:trPr>
        <w:tc>
          <w:tcPr>
            <w:tcW w:w="727" w:type="dxa"/>
            <w:vMerge/>
            <w:tcBorders>
              <w:top w:val="nil"/>
            </w:tcBorders>
          </w:tcPr>
          <w:p>
            <w:pPr>
              <w:rPr>
                <w:sz w:val="2"/>
                <w:szCs w:val="2"/>
              </w:rPr>
            </w:pPr>
          </w:p>
        </w:tc>
        <w:tc>
          <w:tcPr>
            <w:tcW w:w="2636" w:type="dxa"/>
          </w:tcPr>
          <w:p>
            <w:pPr>
              <w:pStyle w:val="TableParagraph"/>
              <w:spacing w:before="147"/>
              <w:ind w:left="56" w:right="33"/>
              <w:jc w:val="center"/>
              <w:rPr>
                <w:sz w:val="21"/>
              </w:rPr>
            </w:pPr>
            <w:r>
              <w:rPr>
                <w:spacing w:val="-3"/>
                <w:sz w:val="21"/>
              </w:rPr>
              <w:t>企业数据模型建设模式</w:t>
            </w:r>
          </w:p>
        </w:tc>
        <w:tc>
          <w:tcPr>
            <w:tcW w:w="4854" w:type="dxa"/>
          </w:tcPr>
          <w:p>
            <w:pPr>
              <w:pStyle w:val="TableParagraph"/>
              <w:spacing w:line="213" w:lineRule="auto" w:before="50"/>
              <w:ind w:left="743" w:right="22" w:hanging="701"/>
              <w:rPr>
                <w:sz w:val="21"/>
              </w:rPr>
            </w:pPr>
            <w:r>
              <w:rPr>
                <w:spacing w:val="-4"/>
                <w:sz w:val="21"/>
              </w:rPr>
              <w:t>从企业数据模型出发，在建模同时建立标准，规范生</w:t>
            </w:r>
            <w:r>
              <w:rPr>
                <w:spacing w:val="-2"/>
                <w:sz w:val="21"/>
              </w:rPr>
              <w:t>产环节的数据录入，保证数据质量。</w:t>
            </w:r>
          </w:p>
        </w:tc>
      </w:tr>
      <w:tr>
        <w:trPr>
          <w:trHeight w:val="565" w:hRule="atLeast"/>
        </w:trPr>
        <w:tc>
          <w:tcPr>
            <w:tcW w:w="727" w:type="dxa"/>
            <w:vMerge/>
            <w:tcBorders>
              <w:top w:val="nil"/>
            </w:tcBorders>
          </w:tcPr>
          <w:p>
            <w:pPr>
              <w:rPr>
                <w:sz w:val="2"/>
                <w:szCs w:val="2"/>
              </w:rPr>
            </w:pPr>
          </w:p>
        </w:tc>
        <w:tc>
          <w:tcPr>
            <w:tcW w:w="2636" w:type="dxa"/>
          </w:tcPr>
          <w:p>
            <w:pPr>
              <w:pStyle w:val="TableParagraph"/>
              <w:spacing w:before="144"/>
              <w:ind w:left="56" w:right="33"/>
              <w:jc w:val="center"/>
              <w:rPr>
                <w:sz w:val="21"/>
              </w:rPr>
            </w:pPr>
            <w:r>
              <w:rPr>
                <w:spacing w:val="-4"/>
                <w:sz w:val="21"/>
              </w:rPr>
              <w:t>主数据建设模式</w:t>
            </w:r>
          </w:p>
        </w:tc>
        <w:tc>
          <w:tcPr>
            <w:tcW w:w="4854" w:type="dxa"/>
          </w:tcPr>
          <w:p>
            <w:pPr>
              <w:pStyle w:val="TableParagraph"/>
              <w:spacing w:line="213" w:lineRule="auto" w:before="48"/>
              <w:ind w:left="323" w:right="19" w:hanging="281"/>
              <w:rPr>
                <w:sz w:val="21"/>
              </w:rPr>
            </w:pPr>
            <w:r>
              <w:rPr>
                <w:spacing w:val="-6"/>
                <w:sz w:val="21"/>
              </w:rPr>
              <w:t>从解决主数据的质量和业务协同入手，推动生产环节</w:t>
            </w:r>
            <w:r>
              <w:rPr>
                <w:spacing w:val="-2"/>
                <w:sz w:val="21"/>
              </w:rPr>
              <w:t>在客户、物料、组织机构、产品、统一编码。</w:t>
            </w:r>
          </w:p>
        </w:tc>
      </w:tr>
      <w:tr>
        <w:trPr>
          <w:trHeight w:val="278" w:hRule="atLeast"/>
        </w:trPr>
        <w:tc>
          <w:tcPr>
            <w:tcW w:w="727" w:type="dxa"/>
            <w:tcBorders>
              <w:bottom w:val="nil"/>
            </w:tcBorders>
          </w:tcPr>
          <w:p>
            <w:pPr>
              <w:pStyle w:val="TableParagraph"/>
              <w:rPr>
                <w:rFonts w:ascii="Times New Roman"/>
                <w:sz w:val="20"/>
              </w:rPr>
            </w:pPr>
          </w:p>
        </w:tc>
        <w:tc>
          <w:tcPr>
            <w:tcW w:w="2636" w:type="dxa"/>
            <w:tcBorders>
              <w:bottom w:val="nil"/>
            </w:tcBorders>
          </w:tcPr>
          <w:p>
            <w:pPr>
              <w:pStyle w:val="TableParagraph"/>
              <w:rPr>
                <w:rFonts w:ascii="Times New Roman"/>
                <w:sz w:val="20"/>
              </w:rPr>
            </w:pPr>
          </w:p>
        </w:tc>
        <w:tc>
          <w:tcPr>
            <w:tcW w:w="4854" w:type="dxa"/>
            <w:tcBorders>
              <w:bottom w:val="nil"/>
            </w:tcBorders>
          </w:tcPr>
          <w:p>
            <w:pPr>
              <w:pStyle w:val="TableParagraph"/>
              <w:spacing w:line="234" w:lineRule="exact" w:before="25"/>
              <w:ind w:left="42" w:right="-44"/>
              <w:jc w:val="center"/>
              <w:rPr>
                <w:sz w:val="21"/>
              </w:rPr>
            </w:pPr>
            <w:r>
              <w:rPr>
                <w:spacing w:val="-3"/>
                <w:sz w:val="21"/>
              </w:rPr>
              <w:t>以数仓、大数据平台等统一数据整合平台为切入点，</w:t>
            </w:r>
          </w:p>
        </w:tc>
      </w:tr>
      <w:tr>
        <w:trPr>
          <w:trHeight w:val="240" w:hRule="atLeast"/>
        </w:trPr>
        <w:tc>
          <w:tcPr>
            <w:tcW w:w="727" w:type="dxa"/>
            <w:tcBorders>
              <w:top w:val="nil"/>
              <w:bottom w:val="nil"/>
            </w:tcBorders>
          </w:tcPr>
          <w:p>
            <w:pPr>
              <w:pStyle w:val="TableParagraph"/>
              <w:rPr>
                <w:rFonts w:ascii="Times New Roman"/>
                <w:sz w:val="16"/>
              </w:rPr>
            </w:pPr>
          </w:p>
        </w:tc>
        <w:tc>
          <w:tcPr>
            <w:tcW w:w="2636" w:type="dxa"/>
            <w:tcBorders>
              <w:top w:val="nil"/>
              <w:bottom w:val="nil"/>
            </w:tcBorders>
          </w:tcPr>
          <w:p>
            <w:pPr>
              <w:pStyle w:val="TableParagraph"/>
              <w:spacing w:line="220" w:lineRule="exact"/>
              <w:ind w:left="56" w:right="35"/>
              <w:jc w:val="center"/>
              <w:rPr>
                <w:sz w:val="21"/>
              </w:rPr>
            </w:pPr>
            <w:r>
              <w:rPr>
                <w:spacing w:val="-4"/>
                <w:sz w:val="21"/>
              </w:rPr>
              <w:t>统一数据平台模式</w:t>
            </w:r>
          </w:p>
        </w:tc>
        <w:tc>
          <w:tcPr>
            <w:tcW w:w="4854" w:type="dxa"/>
            <w:tcBorders>
              <w:top w:val="nil"/>
              <w:bottom w:val="nil"/>
            </w:tcBorders>
          </w:tcPr>
          <w:p>
            <w:pPr>
              <w:pStyle w:val="TableParagraph"/>
              <w:spacing w:line="220" w:lineRule="exact"/>
              <w:ind w:left="42" w:right="-44"/>
              <w:jc w:val="center"/>
              <w:rPr>
                <w:sz w:val="21"/>
              </w:rPr>
            </w:pPr>
            <w:r>
              <w:rPr>
                <w:spacing w:val="-3"/>
                <w:sz w:val="21"/>
              </w:rPr>
              <w:t>统一接入各业务各分公司的数据，统一语义和标准，</w:t>
            </w:r>
          </w:p>
        </w:tc>
      </w:tr>
      <w:tr>
        <w:trPr>
          <w:trHeight w:val="286" w:hRule="atLeast"/>
        </w:trPr>
        <w:tc>
          <w:tcPr>
            <w:tcW w:w="727" w:type="dxa"/>
            <w:vMerge w:val="restart"/>
            <w:tcBorders>
              <w:top w:val="nil"/>
              <w:bottom w:val="nil"/>
            </w:tcBorders>
          </w:tcPr>
          <w:p>
            <w:pPr>
              <w:pStyle w:val="TableParagraph"/>
              <w:spacing w:before="2"/>
              <w:rPr>
                <w:sz w:val="14"/>
              </w:rPr>
            </w:pPr>
          </w:p>
          <w:p>
            <w:pPr>
              <w:pStyle w:val="TableParagraph"/>
              <w:spacing w:line="213" w:lineRule="auto"/>
              <w:ind w:left="47" w:right="23"/>
              <w:rPr>
                <w:sz w:val="21"/>
              </w:rPr>
            </w:pPr>
            <w:r>
              <w:rPr>
                <w:spacing w:val="-4"/>
                <w:sz w:val="21"/>
              </w:rPr>
              <w:t>数据系</w:t>
            </w:r>
            <w:r>
              <w:rPr>
                <w:spacing w:val="-4"/>
                <w:sz w:val="21"/>
              </w:rPr>
              <w:t>统入手</w:t>
            </w:r>
          </w:p>
        </w:tc>
        <w:tc>
          <w:tcPr>
            <w:tcW w:w="2636" w:type="dxa"/>
            <w:tcBorders>
              <w:top w:val="nil"/>
            </w:tcBorders>
          </w:tcPr>
          <w:p>
            <w:pPr>
              <w:pStyle w:val="TableParagraph"/>
              <w:rPr>
                <w:rFonts w:ascii="Times New Roman"/>
                <w:sz w:val="20"/>
              </w:rPr>
            </w:pPr>
          </w:p>
        </w:tc>
        <w:tc>
          <w:tcPr>
            <w:tcW w:w="4854" w:type="dxa"/>
            <w:tcBorders>
              <w:top w:val="nil"/>
            </w:tcBorders>
          </w:tcPr>
          <w:p>
            <w:pPr>
              <w:pStyle w:val="TableParagraph"/>
              <w:spacing w:line="255" w:lineRule="exact"/>
              <w:ind w:left="59" w:right="41"/>
              <w:jc w:val="center"/>
              <w:rPr>
                <w:sz w:val="21"/>
              </w:rPr>
            </w:pPr>
            <w:r>
              <w:rPr>
                <w:spacing w:val="-4"/>
                <w:sz w:val="21"/>
              </w:rPr>
              <w:t>提升数据质量。</w:t>
            </w:r>
          </w:p>
        </w:tc>
      </w:tr>
      <w:tr>
        <w:trPr>
          <w:trHeight w:val="759" w:hRule="atLeast"/>
        </w:trPr>
        <w:tc>
          <w:tcPr>
            <w:tcW w:w="727" w:type="dxa"/>
            <w:vMerge/>
            <w:tcBorders>
              <w:top w:val="nil"/>
              <w:bottom w:val="nil"/>
            </w:tcBorders>
          </w:tcPr>
          <w:p>
            <w:pPr>
              <w:rPr>
                <w:sz w:val="2"/>
                <w:szCs w:val="2"/>
              </w:rPr>
            </w:pPr>
          </w:p>
        </w:tc>
        <w:tc>
          <w:tcPr>
            <w:tcW w:w="2636" w:type="dxa"/>
            <w:tcBorders>
              <w:bottom w:val="nil"/>
            </w:tcBorders>
          </w:tcPr>
          <w:p>
            <w:pPr>
              <w:pStyle w:val="TableParagraph"/>
              <w:rPr>
                <w:sz w:val="20"/>
              </w:rPr>
            </w:pPr>
          </w:p>
          <w:p>
            <w:pPr>
              <w:pStyle w:val="TableParagraph"/>
              <w:spacing w:before="129"/>
              <w:ind w:left="56" w:right="33"/>
              <w:jc w:val="center"/>
              <w:rPr>
                <w:sz w:val="21"/>
              </w:rPr>
            </w:pPr>
            <w:r>
              <w:rPr>
                <w:spacing w:val="-4"/>
                <w:sz w:val="21"/>
              </w:rPr>
              <w:t>数据集市模式</w:t>
            </w:r>
          </w:p>
        </w:tc>
        <w:tc>
          <w:tcPr>
            <w:tcW w:w="4854" w:type="dxa"/>
            <w:tcBorders>
              <w:bottom w:val="nil"/>
            </w:tcBorders>
          </w:tcPr>
          <w:p>
            <w:pPr>
              <w:pStyle w:val="TableParagraph"/>
              <w:spacing w:line="255" w:lineRule="exact" w:before="24"/>
              <w:ind w:left="42"/>
              <w:rPr>
                <w:sz w:val="21"/>
              </w:rPr>
            </w:pPr>
            <w:r>
              <w:rPr>
                <w:spacing w:val="-8"/>
                <w:sz w:val="21"/>
              </w:rPr>
              <w:t>各业务单独建立自己的数据仓库，满足自己的数据分</w:t>
            </w:r>
          </w:p>
          <w:p>
            <w:pPr>
              <w:pStyle w:val="TableParagraph"/>
              <w:spacing w:line="240" w:lineRule="exact"/>
              <w:ind w:left="42" w:right="19"/>
              <w:rPr>
                <w:sz w:val="21"/>
              </w:rPr>
            </w:pPr>
            <w:r>
              <w:rPr>
                <w:spacing w:val="-4"/>
                <w:sz w:val="21"/>
              </w:rPr>
              <w:t>析需求；或者从某个特定的分析主题为切入点，进行</w:t>
            </w:r>
            <w:r>
              <w:rPr>
                <w:spacing w:val="-10"/>
                <w:sz w:val="21"/>
              </w:rPr>
              <w:t>建设，后续统一对每个业务的数仓进行语义和标准方</w:t>
            </w:r>
          </w:p>
        </w:tc>
      </w:tr>
      <w:tr>
        <w:trPr>
          <w:trHeight w:val="286" w:hRule="atLeast"/>
        </w:trPr>
        <w:tc>
          <w:tcPr>
            <w:tcW w:w="727" w:type="dxa"/>
            <w:tcBorders>
              <w:top w:val="nil"/>
            </w:tcBorders>
          </w:tcPr>
          <w:p>
            <w:pPr>
              <w:pStyle w:val="TableParagraph"/>
              <w:rPr>
                <w:rFonts w:ascii="Times New Roman"/>
                <w:sz w:val="20"/>
              </w:rPr>
            </w:pPr>
          </w:p>
        </w:tc>
        <w:tc>
          <w:tcPr>
            <w:tcW w:w="2636" w:type="dxa"/>
            <w:tcBorders>
              <w:top w:val="nil"/>
            </w:tcBorders>
          </w:tcPr>
          <w:p>
            <w:pPr>
              <w:pStyle w:val="TableParagraph"/>
              <w:rPr>
                <w:rFonts w:ascii="Times New Roman"/>
                <w:sz w:val="20"/>
              </w:rPr>
            </w:pPr>
          </w:p>
        </w:tc>
        <w:tc>
          <w:tcPr>
            <w:tcW w:w="4854" w:type="dxa"/>
            <w:tcBorders>
              <w:top w:val="nil"/>
            </w:tcBorders>
          </w:tcPr>
          <w:p>
            <w:pPr>
              <w:pStyle w:val="TableParagraph"/>
              <w:spacing w:line="255" w:lineRule="exact"/>
              <w:ind w:left="59" w:right="39"/>
              <w:jc w:val="center"/>
              <w:rPr>
                <w:sz w:val="21"/>
              </w:rPr>
            </w:pPr>
            <w:r>
              <w:rPr>
                <w:spacing w:val="-3"/>
                <w:sz w:val="21"/>
              </w:rPr>
              <w:t>面的规范，实现物理分离，逻辑统一。</w:t>
            </w:r>
          </w:p>
        </w:tc>
      </w:tr>
    </w:tbl>
    <w:p>
      <w:pPr>
        <w:pStyle w:val="BodyText"/>
        <w:spacing w:before="2"/>
        <w:rPr>
          <w:sz w:val="27"/>
        </w:rPr>
      </w:pPr>
    </w:p>
    <w:p>
      <w:pPr>
        <w:pStyle w:val="Heading2"/>
        <w:spacing w:before="0"/>
      </w:pPr>
      <w:bookmarkStart w:name="_bookmark51" w:id="52"/>
      <w:bookmarkEnd w:id="52"/>
      <w:r>
        <w:rPr>
          <w:b w:val="0"/>
        </w:rPr>
      </w:r>
      <w:r>
        <w:rPr>
          <w:rFonts w:ascii="Times New Roman" w:eastAsia="Times New Roman"/>
        </w:rPr>
        <w:t>(</w:t>
      </w:r>
      <w:r>
        <w:rPr/>
        <w:t>三</w:t>
      </w:r>
      <w:r>
        <w:rPr>
          <w:rFonts w:ascii="Times New Roman" w:eastAsia="Times New Roman"/>
          <w:spacing w:val="-3"/>
        </w:rPr>
        <w:t>) </w:t>
      </w:r>
      <w:r>
        <w:rPr/>
        <w:t>软</w:t>
      </w:r>
      <w:r>
        <w:rPr/>
        <w:t>件</w:t>
      </w:r>
      <w:r>
        <w:rPr/>
        <w:t>工</w:t>
      </w:r>
      <w:r>
        <w:rPr>
          <w:spacing w:val="-10"/>
        </w:rPr>
        <w:t>具</w:t>
      </w:r>
    </w:p>
    <w:p>
      <w:pPr>
        <w:pStyle w:val="BodyText"/>
        <w:spacing w:line="620" w:lineRule="atLeast" w:before="41"/>
        <w:ind w:left="1320" w:right="1037" w:firstLine="559"/>
      </w:pPr>
      <w:r>
        <w:rPr>
          <w:spacing w:val="-9"/>
        </w:rPr>
        <w:t>数据资产管理实践实施过程中，需要依托具体的软件工具来执行。</w:t>
      </w:r>
      <w:r>
        <w:rPr>
          <w:spacing w:val="-2"/>
        </w:rPr>
        <w:t>而且随着技术的发展，软件工具的自动化、智能化程度不断地提高，</w:t>
      </w:r>
    </w:p>
    <w:p>
      <w:pPr>
        <w:spacing w:before="119"/>
        <w:ind w:left="1329" w:right="1325" w:firstLine="0"/>
        <w:jc w:val="center"/>
        <w:rPr>
          <w:rFonts w:ascii="Times New Roman"/>
          <w:sz w:val="18"/>
        </w:rPr>
      </w:pPr>
      <w:r>
        <w:rPr>
          <w:rFonts w:ascii="Times New Roman"/>
          <w:spacing w:val="-5"/>
          <w:sz w:val="18"/>
        </w:rPr>
        <w:t>34</w:t>
      </w:r>
    </w:p>
    <w:p>
      <w:pPr>
        <w:spacing w:after="0"/>
        <w:jc w:val="center"/>
        <w:rPr>
          <w:rFonts w:ascii="Times New Roman"/>
          <w:sz w:val="18"/>
        </w:rPr>
        <w:sectPr>
          <w:headerReference w:type="default" r:id="rId50"/>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jc w:val="both"/>
      </w:pPr>
      <w:r>
        <w:rPr>
          <w:spacing w:val="-4"/>
        </w:rPr>
        <w:t>在数据资产管理中的作用越来越大。目前针对上述管理职能，业界很</w:t>
      </w:r>
      <w:r>
        <w:rPr>
          <w:spacing w:val="-4"/>
        </w:rPr>
        <w:t>多厂商都开发了相关软件工具，其中，相对比较成熟的工具有数据标</w:t>
      </w:r>
      <w:r>
        <w:rPr>
          <w:spacing w:val="-24"/>
        </w:rPr>
        <w:t>准管理工具、数据模型管理工具、元数据管理工具、主数据管理工具、</w:t>
      </w:r>
      <w:r>
        <w:rPr>
          <w:spacing w:val="-12"/>
        </w:rPr>
        <w:t>数据质量管理工具、数据安全管理工具和数据生命周期管理工具等七</w:t>
      </w:r>
      <w:r>
        <w:rPr>
          <w:spacing w:val="-4"/>
        </w:rPr>
        <w:t>类工具，这七类工具有的是单独呈现，有的是相互组合在一起形成包</w:t>
      </w:r>
      <w:r>
        <w:rPr>
          <w:spacing w:val="-4"/>
        </w:rPr>
        <w:t>括多种功能的软件平台，其具体意义和主要功能将展开具体阐述。除 </w:t>
      </w:r>
      <w:r>
        <w:rPr>
          <w:rFonts w:ascii="Times New Roman" w:hAnsi="Times New Roman" w:eastAsia="Times New Roman"/>
          <w:spacing w:val="-2"/>
        </w:rPr>
        <w:t>“</w:t>
      </w:r>
      <w:r>
        <w:rPr>
          <w:spacing w:val="-2"/>
        </w:rPr>
        <w:t>数据资产管理</w:t>
      </w:r>
      <w:r>
        <w:rPr>
          <w:rFonts w:ascii="Times New Roman" w:hAnsi="Times New Roman" w:eastAsia="Times New Roman"/>
          <w:spacing w:val="-2"/>
        </w:rPr>
        <w:t>”</w:t>
      </w:r>
      <w:r>
        <w:rPr>
          <w:spacing w:val="-2"/>
        </w:rPr>
        <w:t>相关的工具之外，在大数据能力构建中，一般还要利</w:t>
      </w:r>
      <w:r>
        <w:rPr>
          <w:spacing w:val="-2"/>
        </w:rPr>
        <w:t>用</w:t>
      </w:r>
      <w:r>
        <w:rPr>
          <w:rFonts w:ascii="Times New Roman" w:hAnsi="Times New Roman" w:eastAsia="Times New Roman"/>
          <w:spacing w:val="-2"/>
        </w:rPr>
        <w:t>“</w:t>
      </w:r>
      <w:r>
        <w:rPr>
          <w:spacing w:val="-2"/>
        </w:rPr>
        <w:t>数据集成工具</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数据共享交换平台</w:t>
      </w:r>
      <w:r>
        <w:rPr>
          <w:rFonts w:ascii="Times New Roman" w:hAnsi="Times New Roman" w:eastAsia="Times New Roman"/>
          <w:spacing w:val="-2"/>
        </w:rPr>
        <w:t>”</w:t>
      </w:r>
      <w:r>
        <w:rPr>
          <w:spacing w:val="-2"/>
        </w:rPr>
        <w:t>等，通过传统数据仓库或大</w:t>
      </w:r>
      <w:r>
        <w:rPr>
          <w:spacing w:val="-8"/>
        </w:rPr>
        <w:t>数据平台等媒介将数据集成交换到一起，从而为应用分析或开放做准</w:t>
      </w:r>
      <w:r>
        <w:rPr>
          <w:spacing w:val="-5"/>
        </w:rPr>
        <w:t>备，涉及工具如 </w:t>
      </w:r>
      <w:r>
        <w:rPr>
          <w:rFonts w:ascii="Times New Roman" w:hAnsi="Times New Roman" w:eastAsia="Times New Roman"/>
        </w:rPr>
        <w:t>“</w:t>
      </w:r>
      <w:r>
        <w:rPr/>
        <w:t>商务智能（</w:t>
      </w:r>
      <w:r>
        <w:rPr>
          <w:rFonts w:ascii="Times New Roman" w:hAnsi="Times New Roman" w:eastAsia="Times New Roman"/>
        </w:rPr>
        <w:t>BI</w:t>
      </w:r>
      <w:r>
        <w:rPr/>
        <w:t>）分析工具</w:t>
      </w:r>
      <w:r>
        <w:rPr>
          <w:rFonts w:ascii="Times New Roman" w:hAnsi="Times New Roman" w:eastAsia="Times New Roman"/>
        </w:rPr>
        <w:t>”</w:t>
      </w:r>
      <w:r>
        <w:rPr/>
        <w:t>、</w:t>
      </w:r>
      <w:r>
        <w:rPr>
          <w:rFonts w:ascii="Times New Roman" w:hAnsi="Times New Roman" w:eastAsia="Times New Roman"/>
        </w:rPr>
        <w:t>“</w:t>
      </w:r>
      <w:r>
        <w:rPr/>
        <w:t>报表工具</w:t>
      </w:r>
      <w:r>
        <w:rPr>
          <w:rFonts w:ascii="Times New Roman" w:hAnsi="Times New Roman" w:eastAsia="Times New Roman"/>
        </w:rPr>
        <w:t>”</w:t>
      </w:r>
      <w:r>
        <w:rPr/>
        <w:t>、</w:t>
      </w:r>
      <w:r>
        <w:rPr>
          <w:rFonts w:ascii="Times New Roman" w:hAnsi="Times New Roman" w:eastAsia="Times New Roman"/>
        </w:rPr>
        <w:t>“</w:t>
      </w:r>
      <w:r>
        <w:rPr/>
        <w:t>数据挖</w:t>
      </w:r>
      <w:r>
        <w:rPr>
          <w:spacing w:val="-2"/>
        </w:rPr>
        <w:t>掘平台</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用户行为分析平台</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数据开放平台</w:t>
      </w:r>
      <w:r>
        <w:rPr>
          <w:rFonts w:ascii="Times New Roman" w:hAnsi="Times New Roman" w:eastAsia="Times New Roman"/>
          <w:spacing w:val="-2"/>
        </w:rPr>
        <w:t>”</w:t>
      </w:r>
      <w:r>
        <w:rPr>
          <w:spacing w:val="-2"/>
        </w:rPr>
        <w:t>等。</w:t>
      </w:r>
    </w:p>
    <w:p>
      <w:pPr>
        <w:pStyle w:val="Heading3"/>
        <w:numPr>
          <w:ilvl w:val="0"/>
          <w:numId w:val="13"/>
        </w:numPr>
        <w:tabs>
          <w:tab w:pos="2580" w:val="left" w:leader="none"/>
          <w:tab w:pos="2581" w:val="left" w:leader="none"/>
        </w:tabs>
        <w:spacing w:line="240" w:lineRule="auto" w:before="212" w:after="0"/>
        <w:ind w:left="2580" w:right="0" w:hanging="620"/>
        <w:jc w:val="left"/>
      </w:pPr>
      <w:bookmarkStart w:name="_bookmark52" w:id="53"/>
      <w:bookmarkEnd w:id="53"/>
      <w:r>
        <w:rPr>
          <w:w w:val="95"/>
        </w:rPr>
        <w:t>数</w:t>
      </w:r>
      <w:r>
        <w:rPr>
          <w:w w:val="95"/>
        </w:rPr>
        <w:t>据</w:t>
      </w:r>
      <w:r>
        <w:rPr>
          <w:w w:val="95"/>
        </w:rPr>
        <w:t>标</w:t>
      </w:r>
      <w:r>
        <w:rPr>
          <w:w w:val="95"/>
        </w:rPr>
        <w:t>准</w:t>
      </w:r>
      <w:r>
        <w:rPr>
          <w:w w:val="95"/>
        </w:rPr>
        <w:t>管</w:t>
      </w:r>
      <w:r>
        <w:rPr>
          <w:w w:val="95"/>
        </w:rPr>
        <w:t>理</w:t>
      </w:r>
      <w:r>
        <w:rPr>
          <w:w w:val="95"/>
        </w:rPr>
        <w:t>工</w:t>
      </w:r>
      <w:r>
        <w:rPr>
          <w:spacing w:val="-10"/>
          <w:w w:val="95"/>
        </w:rPr>
        <w:t>具</w:t>
      </w:r>
    </w:p>
    <w:p>
      <w:pPr>
        <w:pStyle w:val="BodyText"/>
        <w:spacing w:line="417" w:lineRule="auto" w:before="300"/>
        <w:ind w:left="1320" w:right="1318" w:firstLine="559"/>
        <w:jc w:val="both"/>
      </w:pPr>
      <w:r>
        <w:rPr>
          <w:spacing w:val="-7"/>
        </w:rPr>
        <w:t>数据标准制定及维护工具可以规范数据资产格式、命名的准确性</w:t>
      </w:r>
      <w:r>
        <w:rPr>
          <w:spacing w:val="-9"/>
        </w:rPr>
        <w:t>和口径的一致性，该工具针对数据标准管理职能而开发，需具备以下</w:t>
      </w:r>
      <w:r>
        <w:rPr>
          <w:spacing w:val="-2"/>
        </w:rPr>
        <w:t>基础功能：</w:t>
      </w:r>
    </w:p>
    <w:p>
      <w:pPr>
        <w:pStyle w:val="ListParagraph"/>
        <w:numPr>
          <w:ilvl w:val="1"/>
          <w:numId w:val="13"/>
        </w:numPr>
        <w:tabs>
          <w:tab w:pos="3000" w:val="left" w:leader="none"/>
          <w:tab w:pos="3001" w:val="left" w:leader="none"/>
        </w:tabs>
        <w:spacing w:line="417" w:lineRule="auto" w:before="31" w:after="0"/>
        <w:ind w:left="2299" w:right="1312" w:firstLine="201"/>
        <w:jc w:val="left"/>
        <w:rPr>
          <w:sz w:val="28"/>
        </w:rPr>
      </w:pPr>
      <w:r>
        <w:rPr>
          <w:spacing w:val="-4"/>
          <w:sz w:val="28"/>
        </w:rPr>
        <w:t>标准生成：可按照业务领域、业务主题、信息分类、信</w:t>
      </w:r>
      <w:r>
        <w:rPr>
          <w:spacing w:val="-2"/>
          <w:sz w:val="28"/>
        </w:rPr>
        <w:t>息项等生成标准细则；</w:t>
      </w:r>
    </w:p>
    <w:p>
      <w:pPr>
        <w:pStyle w:val="ListParagraph"/>
        <w:numPr>
          <w:ilvl w:val="1"/>
          <w:numId w:val="13"/>
        </w:numPr>
        <w:tabs>
          <w:tab w:pos="3000" w:val="left" w:leader="none"/>
          <w:tab w:pos="3001" w:val="left" w:leader="none"/>
        </w:tabs>
        <w:spacing w:line="417" w:lineRule="auto" w:before="31" w:after="0"/>
        <w:ind w:left="2299" w:right="1037" w:firstLine="201"/>
        <w:jc w:val="left"/>
        <w:rPr>
          <w:sz w:val="28"/>
        </w:rPr>
      </w:pPr>
      <w:r>
        <w:rPr>
          <w:spacing w:val="-12"/>
          <w:sz w:val="28"/>
        </w:rPr>
        <w:t>标准映射：可以将制定的标准与实际数据进行关联映射，</w:t>
      </w:r>
      <w:r>
        <w:rPr>
          <w:spacing w:val="-2"/>
          <w:sz w:val="28"/>
        </w:rPr>
        <w:t>即实现数据标准的落地执行，维护标准与元数据之间的落地</w:t>
      </w:r>
      <w:r>
        <w:rPr>
          <w:spacing w:val="40"/>
          <w:sz w:val="28"/>
        </w:rPr>
        <w:t> </w:t>
      </w:r>
      <w:r>
        <w:rPr>
          <w:spacing w:val="-2"/>
          <w:sz w:val="28"/>
        </w:rPr>
        <w:t>映射关系</w:t>
      </w:r>
      <w:r>
        <w:rPr>
          <w:rFonts w:ascii="Times New Roman" w:hAnsi="Times New Roman" w:eastAsia="Times New Roman"/>
          <w:spacing w:val="-2"/>
          <w:sz w:val="28"/>
        </w:rPr>
        <w:t>,</w:t>
      </w:r>
      <w:r>
        <w:rPr>
          <w:spacing w:val="-2"/>
          <w:sz w:val="28"/>
        </w:rPr>
        <w:t>包括元数据与数据标准的映射、元数据与数据质量</w:t>
      </w:r>
      <w:r>
        <w:rPr>
          <w:spacing w:val="-2"/>
          <w:sz w:val="28"/>
        </w:rPr>
        <w:t> 的映射，以及数据标准和数据质量的映射，能提供在线的手</w:t>
      </w:r>
    </w:p>
    <w:p>
      <w:pPr>
        <w:pStyle w:val="BodyText"/>
        <w:rPr>
          <w:sz w:val="20"/>
        </w:rPr>
      </w:pPr>
    </w:p>
    <w:p>
      <w:pPr>
        <w:pStyle w:val="BodyText"/>
        <w:spacing w:before="1"/>
        <w:rPr>
          <w:sz w:val="19"/>
        </w:rPr>
      </w:pPr>
    </w:p>
    <w:p>
      <w:pPr>
        <w:spacing w:before="93"/>
        <w:ind w:left="1329" w:right="1325" w:firstLine="0"/>
        <w:jc w:val="center"/>
        <w:rPr>
          <w:rFonts w:ascii="Times New Roman"/>
          <w:sz w:val="18"/>
        </w:rPr>
      </w:pPr>
      <w:r>
        <w:rPr>
          <w:rFonts w:ascii="Times New Roman"/>
          <w:spacing w:val="-5"/>
          <w:sz w:val="18"/>
        </w:rPr>
        <w:t>35</w:t>
      </w:r>
    </w:p>
    <w:p>
      <w:pPr>
        <w:spacing w:after="0"/>
        <w:jc w:val="center"/>
        <w:rPr>
          <w:rFonts w:ascii="Times New Roman"/>
          <w:sz w:val="18"/>
        </w:rPr>
        <w:sectPr>
          <w:headerReference w:type="default" r:id="rId51"/>
          <w:pgSz w:w="11910" w:h="16840"/>
          <w:pgMar w:header="877" w:footer="0" w:top="1100" w:bottom="280" w:left="480" w:right="480"/>
        </w:sectPr>
      </w:pPr>
    </w:p>
    <w:p>
      <w:pPr>
        <w:pStyle w:val="BodyText"/>
        <w:rPr>
          <w:rFonts w:ascii="Times New Roman"/>
          <w:sz w:val="20"/>
        </w:rPr>
      </w:pPr>
    </w:p>
    <w:p>
      <w:pPr>
        <w:pStyle w:val="BodyText"/>
        <w:spacing w:before="225"/>
        <w:ind w:left="901" w:right="1367"/>
        <w:jc w:val="center"/>
      </w:pPr>
      <w:r>
        <w:rPr>
          <w:spacing w:val="-3"/>
        </w:rPr>
        <w:t>工映射配置功能，并能对映射结果做页面展示；</w:t>
      </w:r>
    </w:p>
    <w:p>
      <w:pPr>
        <w:pStyle w:val="BodyText"/>
        <w:spacing w:before="1"/>
        <w:rPr>
          <w:sz w:val="23"/>
        </w:rPr>
      </w:pPr>
    </w:p>
    <w:p>
      <w:pPr>
        <w:pStyle w:val="ListParagraph"/>
        <w:numPr>
          <w:ilvl w:val="1"/>
          <w:numId w:val="13"/>
        </w:numPr>
        <w:tabs>
          <w:tab w:pos="3000" w:val="left" w:leader="none"/>
          <w:tab w:pos="3001" w:val="left" w:leader="none"/>
        </w:tabs>
        <w:spacing w:line="240" w:lineRule="auto" w:before="0" w:after="0"/>
        <w:ind w:left="3000" w:right="0" w:hanging="500"/>
        <w:jc w:val="left"/>
        <w:rPr>
          <w:sz w:val="28"/>
        </w:rPr>
      </w:pPr>
      <w:r>
        <w:rPr>
          <w:spacing w:val="-3"/>
          <w:sz w:val="28"/>
        </w:rPr>
        <w:t>变更查询：是查询发布或废止的标准的变更轨迹；</w:t>
      </w:r>
    </w:p>
    <w:p>
      <w:pPr>
        <w:pStyle w:val="BodyText"/>
        <w:spacing w:before="2"/>
        <w:rPr>
          <w:sz w:val="23"/>
        </w:rPr>
      </w:pPr>
    </w:p>
    <w:p>
      <w:pPr>
        <w:pStyle w:val="ListParagraph"/>
        <w:numPr>
          <w:ilvl w:val="1"/>
          <w:numId w:val="13"/>
        </w:numPr>
        <w:tabs>
          <w:tab w:pos="3000" w:val="left" w:leader="none"/>
          <w:tab w:pos="3001" w:val="left" w:leader="none"/>
        </w:tabs>
        <w:spacing w:line="417" w:lineRule="auto" w:before="0" w:after="0"/>
        <w:ind w:left="2299" w:right="1317" w:firstLine="201"/>
        <w:jc w:val="left"/>
        <w:rPr>
          <w:sz w:val="28"/>
        </w:rPr>
      </w:pPr>
      <w:r>
        <w:rPr>
          <w:spacing w:val="-12"/>
          <w:sz w:val="28"/>
        </w:rPr>
        <w:t>映射查询：是查询标准项与元数据之间的落地情况并提</w:t>
      </w:r>
      <w:r>
        <w:rPr>
          <w:spacing w:val="-2"/>
          <w:sz w:val="28"/>
        </w:rPr>
        <w:t>供下载功能；</w:t>
      </w:r>
    </w:p>
    <w:p>
      <w:pPr>
        <w:pStyle w:val="ListParagraph"/>
        <w:numPr>
          <w:ilvl w:val="1"/>
          <w:numId w:val="13"/>
        </w:numPr>
        <w:tabs>
          <w:tab w:pos="3000" w:val="left" w:leader="none"/>
          <w:tab w:pos="3001" w:val="left" w:leader="none"/>
        </w:tabs>
        <w:spacing w:line="417" w:lineRule="auto" w:before="31" w:after="0"/>
        <w:ind w:left="2299" w:right="1318" w:firstLine="201"/>
        <w:jc w:val="left"/>
        <w:rPr>
          <w:sz w:val="28"/>
        </w:rPr>
      </w:pPr>
      <w:r>
        <w:rPr>
          <w:spacing w:val="-6"/>
          <w:sz w:val="28"/>
        </w:rPr>
        <w:t>维护标准：是指对标准状态进行管理，包括增删改、审</w:t>
      </w:r>
      <w:r>
        <w:rPr>
          <w:spacing w:val="-2"/>
          <w:sz w:val="28"/>
        </w:rPr>
        <w:t>核、定版、发布、废止等；</w:t>
      </w:r>
    </w:p>
    <w:p>
      <w:pPr>
        <w:pStyle w:val="ListParagraph"/>
        <w:numPr>
          <w:ilvl w:val="1"/>
          <w:numId w:val="13"/>
        </w:numPr>
        <w:tabs>
          <w:tab w:pos="3000" w:val="left" w:leader="none"/>
          <w:tab w:pos="3001" w:val="left" w:leader="none"/>
        </w:tabs>
        <w:spacing w:line="240" w:lineRule="auto" w:before="31" w:after="0"/>
        <w:ind w:left="3000" w:right="0" w:hanging="500"/>
        <w:jc w:val="left"/>
        <w:rPr>
          <w:sz w:val="28"/>
        </w:rPr>
      </w:pPr>
      <w:r>
        <w:rPr>
          <w:spacing w:val="-1"/>
          <w:sz w:val="28"/>
        </w:rPr>
        <w:t>标准版本查询：是指对发布状态的标准进行版本管理；</w:t>
      </w:r>
    </w:p>
    <w:p>
      <w:pPr>
        <w:pStyle w:val="BodyText"/>
        <w:spacing w:before="2"/>
        <w:rPr>
          <w:sz w:val="23"/>
        </w:rPr>
      </w:pPr>
    </w:p>
    <w:p>
      <w:pPr>
        <w:pStyle w:val="ListParagraph"/>
        <w:numPr>
          <w:ilvl w:val="1"/>
          <w:numId w:val="13"/>
        </w:numPr>
        <w:tabs>
          <w:tab w:pos="3000" w:val="left" w:leader="none"/>
          <w:tab w:pos="3001" w:val="left" w:leader="none"/>
        </w:tabs>
        <w:spacing w:line="417" w:lineRule="auto" w:before="0" w:after="0"/>
        <w:ind w:left="2299" w:right="1317" w:firstLine="201"/>
        <w:jc w:val="left"/>
        <w:rPr>
          <w:sz w:val="28"/>
        </w:rPr>
      </w:pPr>
      <w:r>
        <w:rPr>
          <w:spacing w:val="-12"/>
          <w:sz w:val="28"/>
        </w:rPr>
        <w:t>标准导出：是指按照当前系统中发布的最新标准或者选</w:t>
      </w:r>
      <w:r>
        <w:rPr>
          <w:spacing w:val="-2"/>
          <w:sz w:val="28"/>
        </w:rPr>
        <w:t>择版本来下载标准信息。</w:t>
      </w:r>
    </w:p>
    <w:p>
      <w:pPr>
        <w:pStyle w:val="Heading3"/>
        <w:numPr>
          <w:ilvl w:val="0"/>
          <w:numId w:val="13"/>
        </w:numPr>
        <w:tabs>
          <w:tab w:pos="2580" w:val="left" w:leader="none"/>
          <w:tab w:pos="2581" w:val="left" w:leader="none"/>
        </w:tabs>
        <w:spacing w:line="240" w:lineRule="auto" w:before="211" w:after="0"/>
        <w:ind w:left="2580" w:right="0" w:hanging="620"/>
        <w:jc w:val="left"/>
      </w:pPr>
      <w:bookmarkStart w:name="_bookmark53" w:id="54"/>
      <w:bookmarkEnd w:id="54"/>
      <w:r>
        <w:rPr>
          <w:w w:val="95"/>
        </w:rPr>
        <w:t>数</w:t>
      </w:r>
      <w:r>
        <w:rPr>
          <w:w w:val="95"/>
        </w:rPr>
        <w:t>据</w:t>
      </w:r>
      <w:r>
        <w:rPr>
          <w:w w:val="95"/>
        </w:rPr>
        <w:t>模</w:t>
      </w:r>
      <w:r>
        <w:rPr>
          <w:w w:val="95"/>
        </w:rPr>
        <w:t>型</w:t>
      </w:r>
      <w:r>
        <w:rPr>
          <w:w w:val="95"/>
        </w:rPr>
        <w:t>管</w:t>
      </w:r>
      <w:r>
        <w:rPr>
          <w:w w:val="95"/>
        </w:rPr>
        <w:t>理</w:t>
      </w:r>
      <w:r>
        <w:rPr>
          <w:w w:val="95"/>
        </w:rPr>
        <w:t>工</w:t>
      </w:r>
      <w:r>
        <w:rPr>
          <w:spacing w:val="-10"/>
          <w:w w:val="95"/>
        </w:rPr>
        <w:t>具</w:t>
      </w:r>
    </w:p>
    <w:p>
      <w:pPr>
        <w:pStyle w:val="BodyText"/>
        <w:spacing w:line="417" w:lineRule="auto" w:before="302"/>
        <w:ind w:left="1320" w:right="1179" w:firstLine="559"/>
      </w:pPr>
      <w:r>
        <w:rPr>
          <w:spacing w:val="-6"/>
        </w:rPr>
        <w:t>针对企业在不同业务发展阶段建设的一个个竖井式系统，最大的</w:t>
      </w:r>
      <w:r>
        <w:rPr>
          <w:spacing w:val="-7"/>
        </w:rPr>
        <w:t>挑战莫过于系统集成过程中数据模型的不一致，解决这个问题的唯一</w:t>
      </w:r>
      <w:r>
        <w:rPr>
          <w:spacing w:val="-2"/>
        </w:rPr>
        <w:t>方法就是从全局入手，设计标准化数据模型，构建统一的数据模型管</w:t>
      </w:r>
      <w:r>
        <w:rPr>
          <w:spacing w:val="-23"/>
        </w:rPr>
        <w:t>控体系，数据模型管理工具负责对企业数据模型的管理、比对、分析、</w:t>
      </w:r>
      <w:r>
        <w:rPr>
          <w:spacing w:val="-2"/>
        </w:rPr>
        <w:t>展示提供技术支撑，需要提供统一、多系统、基于多团队并行协作的</w:t>
      </w:r>
      <w:r>
        <w:rPr>
          <w:spacing w:val="-2"/>
        </w:rPr>
        <w:t>数据模型管理。解决企业数据模型管理分散，无统一的企业数据模型</w:t>
      </w:r>
      <w:r>
        <w:rPr>
          <w:spacing w:val="-19"/>
        </w:rPr>
        <w:t>视图、数据模型无有效的管控过程，数据模型标准设计无法有效落地、</w:t>
      </w:r>
      <w:r>
        <w:rPr>
          <w:spacing w:val="-7"/>
        </w:rPr>
        <w:t>数据模型设计与系统实现出现偏差等多种问题。该工具针对数据模型</w:t>
      </w:r>
      <w:r>
        <w:rPr>
          <w:spacing w:val="-2"/>
        </w:rPr>
        <w:t>管理职能而开发，需具备以下基础功能：</w:t>
      </w:r>
    </w:p>
    <w:p>
      <w:pPr>
        <w:pStyle w:val="BodyText"/>
        <w:spacing w:before="9"/>
        <w:rPr>
          <w:sz w:val="21"/>
        </w:rPr>
      </w:pPr>
    </w:p>
    <w:p>
      <w:pPr>
        <w:pStyle w:val="ListParagraph"/>
        <w:numPr>
          <w:ilvl w:val="1"/>
          <w:numId w:val="13"/>
        </w:numPr>
        <w:tabs>
          <w:tab w:pos="3000" w:val="left" w:leader="none"/>
          <w:tab w:pos="3001" w:val="left" w:leader="none"/>
        </w:tabs>
        <w:spacing w:line="417" w:lineRule="auto" w:before="0" w:after="0"/>
        <w:ind w:left="2299" w:right="1317" w:firstLine="201"/>
        <w:jc w:val="left"/>
        <w:rPr>
          <w:sz w:val="28"/>
        </w:rPr>
      </w:pPr>
      <w:r>
        <w:rPr>
          <w:spacing w:val="-6"/>
          <w:sz w:val="28"/>
        </w:rPr>
        <w:t>数据模型设计：支持对于新建系统的正向建模能力，还</w:t>
      </w:r>
      <w:r>
        <w:rPr>
          <w:spacing w:val="-2"/>
          <w:sz w:val="28"/>
        </w:rPr>
        <w:t>应支持对原有系统的逆向工程能力，通过对数据模型进行标</w:t>
      </w:r>
    </w:p>
    <w:p>
      <w:pPr>
        <w:spacing w:before="3"/>
        <w:ind w:left="1329" w:right="1325" w:firstLine="0"/>
        <w:jc w:val="center"/>
        <w:rPr>
          <w:rFonts w:ascii="Times New Roman"/>
          <w:sz w:val="18"/>
        </w:rPr>
      </w:pPr>
      <w:r>
        <w:rPr>
          <w:rFonts w:ascii="Times New Roman"/>
          <w:spacing w:val="-5"/>
          <w:sz w:val="18"/>
        </w:rPr>
        <w:t>36</w:t>
      </w:r>
    </w:p>
    <w:p>
      <w:pPr>
        <w:spacing w:after="0"/>
        <w:jc w:val="center"/>
        <w:rPr>
          <w:rFonts w:ascii="Times New Roman"/>
          <w:sz w:val="18"/>
        </w:rPr>
        <w:sectPr>
          <w:headerReference w:type="default" r:id="rId52"/>
          <w:pgSz w:w="11910" w:h="16840"/>
          <w:pgMar w:header="877" w:footer="0" w:top="1100" w:bottom="280" w:left="480" w:right="480"/>
        </w:sectPr>
      </w:pPr>
    </w:p>
    <w:p>
      <w:pPr>
        <w:pStyle w:val="BodyText"/>
        <w:rPr>
          <w:rFonts w:ascii="Times New Roman"/>
          <w:sz w:val="20"/>
        </w:rPr>
      </w:pPr>
    </w:p>
    <w:p>
      <w:pPr>
        <w:pStyle w:val="BodyText"/>
        <w:spacing w:line="417" w:lineRule="auto" w:before="225"/>
        <w:ind w:left="2299" w:right="1366"/>
      </w:pPr>
      <w:r>
        <w:rPr>
          <w:spacing w:val="-2"/>
        </w:rPr>
        <w:t>准化设计，能够将数据模型与整个企业架构保持一致，从源</w:t>
      </w:r>
      <w:r>
        <w:rPr>
          <w:spacing w:val="-2"/>
        </w:rPr>
        <w:t>头上提高企业数据的一致性；</w:t>
      </w:r>
    </w:p>
    <w:p>
      <w:pPr>
        <w:pStyle w:val="ListParagraph"/>
        <w:numPr>
          <w:ilvl w:val="1"/>
          <w:numId w:val="13"/>
        </w:numPr>
        <w:tabs>
          <w:tab w:pos="3001" w:val="left" w:leader="none"/>
        </w:tabs>
        <w:spacing w:line="417" w:lineRule="auto" w:before="0" w:after="0"/>
        <w:ind w:left="2299" w:right="1315" w:firstLine="201"/>
        <w:jc w:val="both"/>
        <w:rPr>
          <w:sz w:val="28"/>
        </w:rPr>
      </w:pPr>
      <w:r>
        <w:rPr>
          <w:spacing w:val="-12"/>
          <w:sz w:val="28"/>
        </w:rPr>
        <w:t>模型差异稽核：提供数据模型与应用数据库之间自动数</w:t>
      </w:r>
      <w:r>
        <w:rPr>
          <w:spacing w:val="-2"/>
          <w:sz w:val="28"/>
        </w:rPr>
        <w:t>据模型审核、稽核对比能力，解决数据模型设计与实现不一</w:t>
      </w:r>
      <w:r>
        <w:rPr>
          <w:spacing w:val="-2"/>
          <w:sz w:val="28"/>
        </w:rPr>
        <w:t>致而产生的</w:t>
      </w:r>
      <w:r>
        <w:rPr>
          <w:rFonts w:ascii="Times New Roman" w:hAnsi="Times New Roman" w:eastAsia="Times New Roman"/>
          <w:spacing w:val="-2"/>
          <w:sz w:val="28"/>
        </w:rPr>
        <w:t>“</w:t>
      </w:r>
      <w:r>
        <w:rPr>
          <w:spacing w:val="-2"/>
          <w:sz w:val="28"/>
        </w:rPr>
        <w:t>两张皮</w:t>
      </w:r>
      <w:r>
        <w:rPr>
          <w:rFonts w:ascii="Times New Roman" w:hAnsi="Times New Roman" w:eastAsia="Times New Roman"/>
          <w:spacing w:val="-2"/>
          <w:sz w:val="28"/>
        </w:rPr>
        <w:t>”</w:t>
      </w:r>
      <w:r>
        <w:rPr>
          <w:spacing w:val="-2"/>
          <w:sz w:val="28"/>
        </w:rPr>
        <w:t>现象，针对数据库表结构、关系等差别</w:t>
      </w:r>
      <w:r>
        <w:rPr>
          <w:spacing w:val="-2"/>
          <w:sz w:val="28"/>
        </w:rPr>
        <w:t>形成差异报告，辅助数据模型管理人员监控数据模型质量问</w:t>
      </w:r>
      <w:r>
        <w:rPr>
          <w:spacing w:val="-2"/>
          <w:sz w:val="28"/>
        </w:rPr>
        <w:t>题；提升数据模型设计和实施质量；</w:t>
      </w:r>
    </w:p>
    <w:p>
      <w:pPr>
        <w:pStyle w:val="ListParagraph"/>
        <w:numPr>
          <w:ilvl w:val="1"/>
          <w:numId w:val="13"/>
        </w:numPr>
        <w:tabs>
          <w:tab w:pos="3001" w:val="left" w:leader="none"/>
        </w:tabs>
        <w:spacing w:line="417" w:lineRule="auto" w:before="30" w:after="0"/>
        <w:ind w:left="2299" w:right="1312" w:firstLine="201"/>
        <w:jc w:val="both"/>
        <w:rPr>
          <w:sz w:val="28"/>
        </w:rPr>
      </w:pPr>
      <w:r>
        <w:rPr>
          <w:spacing w:val="-4"/>
          <w:sz w:val="28"/>
        </w:rPr>
        <w:t>数据模型变更管控：支持数据模型变更管控过程，提供</w:t>
      </w:r>
      <w:r>
        <w:rPr>
          <w:spacing w:val="-2"/>
          <w:sz w:val="28"/>
        </w:rPr>
        <w:t>数据模型从设计、提交、评审、发布、实施到消亡的在线、</w:t>
      </w:r>
      <w:r>
        <w:rPr>
          <w:spacing w:val="-2"/>
          <w:sz w:val="28"/>
        </w:rPr>
        <w:t>全过程、流程化变更管理。同时，实现各系统数据模型版本</w:t>
      </w:r>
      <w:r>
        <w:rPr>
          <w:spacing w:val="-2"/>
          <w:sz w:val="28"/>
        </w:rPr>
        <w:t>化管理，自动生成版本号、版本变更明细信息，可以辅助数</w:t>
      </w:r>
      <w:r>
        <w:rPr>
          <w:spacing w:val="-2"/>
          <w:sz w:val="28"/>
        </w:rPr>
        <w:t>据模型管理人员管理不同版本的数据模型。通过工具可以简</w:t>
      </w:r>
      <w:r>
        <w:rPr>
          <w:spacing w:val="-2"/>
          <w:sz w:val="28"/>
        </w:rPr>
        <w:t>单回溯任意时间点的数据模型设计状态以及数据模型设计变</w:t>
      </w:r>
      <w:r>
        <w:rPr>
          <w:spacing w:val="-2"/>
          <w:sz w:val="28"/>
        </w:rPr>
        <w:t>更的需求来由，实现各系统数据模型的有效管控和管治，强</w:t>
      </w:r>
      <w:r>
        <w:rPr>
          <w:spacing w:val="-2"/>
          <w:sz w:val="28"/>
        </w:rPr>
        <w:t>化用户对其数据模型的掌控能力；</w:t>
      </w:r>
    </w:p>
    <w:p>
      <w:pPr>
        <w:pStyle w:val="ListParagraph"/>
        <w:numPr>
          <w:ilvl w:val="1"/>
          <w:numId w:val="13"/>
        </w:numPr>
        <w:tabs>
          <w:tab w:pos="3001" w:val="left" w:leader="none"/>
        </w:tabs>
        <w:spacing w:line="417" w:lineRule="auto" w:before="30" w:after="0"/>
        <w:ind w:left="2299" w:right="1314" w:firstLine="201"/>
        <w:jc w:val="both"/>
        <w:rPr>
          <w:sz w:val="28"/>
        </w:rPr>
      </w:pPr>
      <w:r>
        <w:rPr>
          <w:spacing w:val="-12"/>
          <w:sz w:val="28"/>
        </w:rPr>
        <w:t>模型可视化：支持将管理的数据模型 </w:t>
      </w:r>
      <w:r>
        <w:rPr>
          <w:rFonts w:ascii="Times New Roman" w:hAnsi="Times New Roman" w:eastAsia="Times New Roman"/>
          <w:spacing w:val="-2"/>
          <w:sz w:val="28"/>
        </w:rPr>
        <w:t>E-R</w:t>
      </w:r>
      <w:r>
        <w:rPr>
          <w:rFonts w:ascii="Times New Roman" w:hAnsi="Times New Roman" w:eastAsia="Times New Roman"/>
          <w:spacing w:val="-16"/>
          <w:sz w:val="28"/>
        </w:rPr>
        <w:t> </w:t>
      </w:r>
      <w:r>
        <w:rPr>
          <w:spacing w:val="-63"/>
          <w:sz w:val="28"/>
        </w:rPr>
        <w:t>图</w:t>
      </w:r>
      <w:r>
        <w:rPr>
          <w:spacing w:val="-2"/>
          <w:sz w:val="28"/>
        </w:rPr>
        <w:t>（实体关系</w:t>
      </w:r>
      <w:r>
        <w:rPr>
          <w:spacing w:val="-4"/>
          <w:sz w:val="28"/>
        </w:rPr>
        <w:t>图</w:t>
      </w:r>
      <w:r>
        <w:rPr>
          <w:spacing w:val="-63"/>
          <w:sz w:val="28"/>
        </w:rPr>
        <w:t>）</w:t>
      </w:r>
      <w:r>
        <w:rPr>
          <w:spacing w:val="-17"/>
          <w:sz w:val="28"/>
        </w:rPr>
        <w:t>转换为图片、数据建模脚本</w:t>
      </w:r>
      <w:r>
        <w:rPr>
          <w:spacing w:val="-4"/>
          <w:sz w:val="28"/>
        </w:rPr>
        <w:t>（</w:t>
      </w:r>
      <w:r>
        <w:rPr>
          <w:rFonts w:ascii="Times New Roman" w:hAnsi="Times New Roman" w:eastAsia="Times New Roman"/>
          <w:spacing w:val="-4"/>
          <w:sz w:val="28"/>
        </w:rPr>
        <w:t>DDL</w:t>
      </w:r>
      <w:r>
        <w:rPr>
          <w:spacing w:val="-4"/>
          <w:sz w:val="28"/>
        </w:rPr>
        <w:t>）等可视化展示形式，</w:t>
      </w:r>
      <w:r>
        <w:rPr>
          <w:spacing w:val="-2"/>
          <w:sz w:val="28"/>
        </w:rPr>
        <w:t>方便数据模型管理人员以全局视角监控系统中各类数据实体</w:t>
      </w:r>
      <w:r>
        <w:rPr>
          <w:spacing w:val="-2"/>
          <w:sz w:val="28"/>
        </w:rPr>
        <w:t>结构及实体间关系。</w:t>
      </w:r>
    </w:p>
    <w:p>
      <w:pPr>
        <w:pStyle w:val="Heading3"/>
        <w:numPr>
          <w:ilvl w:val="0"/>
          <w:numId w:val="13"/>
        </w:numPr>
        <w:tabs>
          <w:tab w:pos="2580" w:val="left" w:leader="none"/>
          <w:tab w:pos="2581" w:val="left" w:leader="none"/>
        </w:tabs>
        <w:spacing w:line="240" w:lineRule="auto" w:before="214" w:after="0"/>
        <w:ind w:left="2580" w:right="0" w:hanging="620"/>
        <w:jc w:val="left"/>
      </w:pPr>
      <w:bookmarkStart w:name="_bookmark54" w:id="55"/>
      <w:bookmarkEnd w:id="55"/>
      <w:r>
        <w:rPr>
          <w:w w:val="95"/>
        </w:rPr>
        <w:t>元</w:t>
      </w:r>
      <w:r>
        <w:rPr>
          <w:w w:val="95"/>
        </w:rPr>
        <w:t>数</w:t>
      </w:r>
      <w:r>
        <w:rPr>
          <w:w w:val="95"/>
        </w:rPr>
        <w:t>据</w:t>
      </w:r>
      <w:r>
        <w:rPr>
          <w:w w:val="95"/>
        </w:rPr>
        <w:t>管</w:t>
      </w:r>
      <w:r>
        <w:rPr>
          <w:w w:val="95"/>
        </w:rPr>
        <w:t>理</w:t>
      </w:r>
      <w:r>
        <w:rPr>
          <w:w w:val="95"/>
        </w:rPr>
        <w:t>工</w:t>
      </w:r>
      <w:r>
        <w:rPr>
          <w:spacing w:val="-10"/>
          <w:w w:val="95"/>
        </w:rPr>
        <w:t>具</w:t>
      </w:r>
    </w:p>
    <w:p>
      <w:pPr>
        <w:pStyle w:val="BodyText"/>
        <w:spacing w:before="299"/>
        <w:ind w:left="1329" w:right="769"/>
        <w:jc w:val="center"/>
      </w:pPr>
      <w:r>
        <w:rPr>
          <w:spacing w:val="-8"/>
        </w:rPr>
        <w:t>元数据管理工具可以了解数据资产分布及产生过程，该工具针对</w:t>
      </w:r>
    </w:p>
    <w:p>
      <w:pPr>
        <w:pStyle w:val="BodyText"/>
        <w:rPr>
          <w:sz w:val="20"/>
        </w:rPr>
      </w:pPr>
    </w:p>
    <w:p>
      <w:pPr>
        <w:pStyle w:val="BodyText"/>
        <w:rPr>
          <w:sz w:val="20"/>
        </w:rPr>
      </w:pPr>
    </w:p>
    <w:p>
      <w:pPr>
        <w:pStyle w:val="BodyText"/>
        <w:spacing w:before="11"/>
        <w:rPr>
          <w:sz w:val="19"/>
        </w:rPr>
      </w:pPr>
    </w:p>
    <w:p>
      <w:pPr>
        <w:spacing w:before="93"/>
        <w:ind w:left="1329" w:right="1325" w:firstLine="0"/>
        <w:jc w:val="center"/>
        <w:rPr>
          <w:rFonts w:ascii="Times New Roman"/>
          <w:sz w:val="18"/>
        </w:rPr>
      </w:pPr>
      <w:r>
        <w:rPr>
          <w:rFonts w:ascii="Times New Roman"/>
          <w:spacing w:val="-5"/>
          <w:sz w:val="18"/>
        </w:rPr>
        <w:t>37</w:t>
      </w:r>
    </w:p>
    <w:p>
      <w:pPr>
        <w:spacing w:after="0"/>
        <w:jc w:val="center"/>
        <w:rPr>
          <w:rFonts w:ascii="Times New Roman"/>
          <w:sz w:val="18"/>
        </w:rPr>
        <w:sectPr>
          <w:headerReference w:type="default" r:id="rId53"/>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元数据管理职能而开发，需具备以下基础功能：</w:t>
      </w:r>
    </w:p>
    <w:p>
      <w:pPr>
        <w:pStyle w:val="BodyText"/>
        <w:spacing w:before="1"/>
        <w:rPr>
          <w:sz w:val="23"/>
        </w:rPr>
      </w:pPr>
    </w:p>
    <w:p>
      <w:pPr>
        <w:pStyle w:val="ListParagraph"/>
        <w:numPr>
          <w:ilvl w:val="1"/>
          <w:numId w:val="13"/>
        </w:numPr>
        <w:tabs>
          <w:tab w:pos="3001" w:val="left" w:leader="none"/>
        </w:tabs>
        <w:spacing w:line="417" w:lineRule="auto" w:before="0" w:after="0"/>
        <w:ind w:left="2299" w:right="1314" w:firstLine="201"/>
        <w:jc w:val="both"/>
        <w:rPr>
          <w:sz w:val="28"/>
        </w:rPr>
      </w:pPr>
      <w:r>
        <w:rPr>
          <w:spacing w:val="-4"/>
          <w:sz w:val="28"/>
        </w:rPr>
        <w:t>元数据采集：能够适应异构环境，支持从传统关系型数</w:t>
      </w:r>
      <w:r>
        <w:rPr>
          <w:spacing w:val="-2"/>
          <w:sz w:val="28"/>
        </w:rPr>
        <w:t>据库和大数据平台中采集从数据产生系统到数据加工处理系</w:t>
      </w:r>
      <w:r>
        <w:rPr>
          <w:spacing w:val="-2"/>
          <w:sz w:val="28"/>
        </w:rPr>
        <w:t>统到数据应用报表系统的全量元数据，包括过程中的数据实</w:t>
      </w:r>
      <w:r>
        <w:rPr>
          <w:spacing w:val="-2"/>
          <w:sz w:val="28"/>
        </w:rPr>
        <w:t>体（系统、库、表、字段的描述）以及数据实体加工处理过</w:t>
      </w:r>
      <w:r>
        <w:rPr>
          <w:spacing w:val="-2"/>
          <w:sz w:val="28"/>
        </w:rPr>
        <w:t>程中的逻辑；</w:t>
      </w:r>
    </w:p>
    <w:p>
      <w:pPr>
        <w:pStyle w:val="ListParagraph"/>
        <w:numPr>
          <w:ilvl w:val="1"/>
          <w:numId w:val="13"/>
        </w:numPr>
        <w:tabs>
          <w:tab w:pos="3001" w:val="left" w:leader="none"/>
        </w:tabs>
        <w:spacing w:line="417" w:lineRule="auto" w:before="31" w:after="0"/>
        <w:ind w:left="2299" w:right="1312" w:firstLine="201"/>
        <w:jc w:val="both"/>
        <w:rPr>
          <w:sz w:val="28"/>
        </w:rPr>
      </w:pPr>
      <w:r>
        <w:rPr>
          <w:spacing w:val="-6"/>
          <w:sz w:val="28"/>
        </w:rPr>
        <w:t>元数据展示：能够根据类别、类型等信息展示各个数据</w:t>
      </w:r>
      <w:r>
        <w:rPr>
          <w:spacing w:val="-2"/>
          <w:sz w:val="28"/>
        </w:rPr>
        <w:t>实体的信息及其分布情况，展示数据实体间的组合、依赖关</w:t>
      </w:r>
      <w:r>
        <w:rPr>
          <w:spacing w:val="-2"/>
          <w:sz w:val="28"/>
        </w:rPr>
        <w:t>系，以及数据实体加工处理上下游的逻辑关系；</w:t>
      </w:r>
    </w:p>
    <w:p>
      <w:pPr>
        <w:pStyle w:val="ListParagraph"/>
        <w:numPr>
          <w:ilvl w:val="1"/>
          <w:numId w:val="13"/>
        </w:numPr>
        <w:tabs>
          <w:tab w:pos="3001" w:val="left" w:leader="none"/>
        </w:tabs>
        <w:spacing w:line="417" w:lineRule="auto" w:before="30" w:after="0"/>
        <w:ind w:left="2299" w:right="1313" w:firstLine="201"/>
        <w:jc w:val="both"/>
        <w:rPr>
          <w:sz w:val="28"/>
        </w:rPr>
      </w:pPr>
      <w:r>
        <w:rPr>
          <w:spacing w:val="-4"/>
          <w:sz w:val="28"/>
        </w:rPr>
        <w:t>元数据应用：元数据的应用一般包括数据地图，数据的</w:t>
      </w:r>
      <w:r>
        <w:rPr>
          <w:spacing w:val="-2"/>
          <w:sz w:val="28"/>
        </w:rPr>
        <w:t>血缘、影响分析，全链分析等；</w:t>
      </w:r>
    </w:p>
    <w:p>
      <w:pPr>
        <w:pStyle w:val="ListParagraph"/>
        <w:numPr>
          <w:ilvl w:val="1"/>
          <w:numId w:val="13"/>
        </w:numPr>
        <w:tabs>
          <w:tab w:pos="3001" w:val="left" w:leader="none"/>
        </w:tabs>
        <w:spacing w:line="240" w:lineRule="auto" w:before="31" w:after="0"/>
        <w:ind w:left="3000" w:right="0" w:hanging="500"/>
        <w:jc w:val="both"/>
        <w:rPr>
          <w:sz w:val="28"/>
        </w:rPr>
      </w:pPr>
      <w:r>
        <w:rPr>
          <w:spacing w:val="-19"/>
          <w:sz w:val="28"/>
        </w:rPr>
        <w:t>元数据搜索：可根据数据源库、类型等搜索元数据信息。</w:t>
      </w:r>
    </w:p>
    <w:p>
      <w:pPr>
        <w:pStyle w:val="BodyText"/>
        <w:spacing w:before="6"/>
        <w:rPr>
          <w:sz w:val="37"/>
        </w:rPr>
      </w:pPr>
    </w:p>
    <w:p>
      <w:pPr>
        <w:pStyle w:val="Heading3"/>
        <w:numPr>
          <w:ilvl w:val="0"/>
          <w:numId w:val="13"/>
        </w:numPr>
        <w:tabs>
          <w:tab w:pos="2580" w:val="left" w:leader="none"/>
          <w:tab w:pos="2581" w:val="left" w:leader="none"/>
        </w:tabs>
        <w:spacing w:line="240" w:lineRule="auto" w:before="0" w:after="0"/>
        <w:ind w:left="2580" w:right="0" w:hanging="620"/>
        <w:jc w:val="left"/>
      </w:pPr>
      <w:bookmarkStart w:name="_bookmark55" w:id="56"/>
      <w:bookmarkEnd w:id="56"/>
      <w:r>
        <w:rPr>
          <w:w w:val="95"/>
        </w:rPr>
        <w:t>主</w:t>
      </w:r>
      <w:r>
        <w:rPr>
          <w:w w:val="95"/>
        </w:rPr>
        <w:t>数</w:t>
      </w:r>
      <w:r>
        <w:rPr>
          <w:w w:val="95"/>
        </w:rPr>
        <w:t>据</w:t>
      </w:r>
      <w:r>
        <w:rPr>
          <w:w w:val="95"/>
        </w:rPr>
        <w:t>管</w:t>
      </w:r>
      <w:r>
        <w:rPr>
          <w:w w:val="95"/>
        </w:rPr>
        <w:t>理</w:t>
      </w:r>
      <w:r>
        <w:rPr>
          <w:w w:val="95"/>
        </w:rPr>
        <w:t>工</w:t>
      </w:r>
      <w:r>
        <w:rPr>
          <w:spacing w:val="-10"/>
          <w:w w:val="95"/>
        </w:rPr>
        <w:t>具</w:t>
      </w:r>
    </w:p>
    <w:p>
      <w:pPr>
        <w:pStyle w:val="BodyText"/>
        <w:spacing w:line="417" w:lineRule="auto" w:before="300"/>
        <w:ind w:left="1320" w:right="1176" w:firstLine="559"/>
      </w:pPr>
      <w:r>
        <w:rPr>
          <w:spacing w:val="-5"/>
        </w:rPr>
        <w:t>数据管理工具用来定义、管理和共享企业主数据信息，可通过数</w:t>
      </w:r>
      <w:r>
        <w:rPr>
          <w:spacing w:val="-2"/>
        </w:rPr>
        <w:t>据整合工具（</w:t>
      </w:r>
      <w:r>
        <w:rPr>
          <w:spacing w:val="-10"/>
        </w:rPr>
        <w:t>如 </w:t>
      </w:r>
      <w:r>
        <w:rPr>
          <w:rFonts w:ascii="Times New Roman" w:hAnsi="Times New Roman" w:eastAsia="Times New Roman"/>
          <w:spacing w:val="-2"/>
        </w:rPr>
        <w:t>ETL</w:t>
      </w:r>
      <w:r>
        <w:rPr>
          <w:spacing w:val="-2"/>
        </w:rPr>
        <w:t>）或专门的主数据管理工具来实施主数据管理，</w:t>
      </w:r>
      <w:r>
        <w:rPr>
          <w:spacing w:val="-2"/>
        </w:rPr>
        <w:t>具有企业级主数据存储、整合、清洗、监管以及分发等五大功能，并</w:t>
      </w:r>
      <w:r>
        <w:rPr>
          <w:spacing w:val="-2"/>
        </w:rPr>
        <w:t>保证这些主数据在各个信息系统间的准确性、一致性、完整性。简单</w:t>
      </w:r>
      <w:r>
        <w:rPr>
          <w:spacing w:val="-2"/>
        </w:rPr>
        <w:t>说来，存储、整合是数据的</w:t>
      </w:r>
      <w:r>
        <w:rPr>
          <w:rFonts w:ascii="Times New Roman" w:hAnsi="Times New Roman" w:eastAsia="Times New Roman"/>
          <w:spacing w:val="-2"/>
        </w:rPr>
        <w:t>“</w:t>
      </w:r>
      <w:r>
        <w:rPr>
          <w:spacing w:val="-2"/>
        </w:rPr>
        <w:t>入口</w:t>
      </w:r>
      <w:r>
        <w:rPr>
          <w:rFonts w:ascii="Times New Roman" w:hAnsi="Times New Roman" w:eastAsia="Times New Roman"/>
          <w:spacing w:val="-2"/>
        </w:rPr>
        <w:t>”</w:t>
      </w:r>
      <w:r>
        <w:rPr>
          <w:spacing w:val="-2"/>
        </w:rPr>
        <w:t>，分发为数据的</w:t>
      </w:r>
      <w:r>
        <w:rPr>
          <w:rFonts w:ascii="Times New Roman" w:hAnsi="Times New Roman" w:eastAsia="Times New Roman"/>
          <w:spacing w:val="-2"/>
        </w:rPr>
        <w:t>“</w:t>
      </w:r>
      <w:r>
        <w:rPr>
          <w:spacing w:val="-2"/>
        </w:rPr>
        <w:t>出口</w:t>
      </w:r>
      <w:r>
        <w:rPr>
          <w:rFonts w:ascii="Times New Roman" w:hAnsi="Times New Roman" w:eastAsia="Times New Roman"/>
          <w:spacing w:val="-2"/>
        </w:rPr>
        <w:t>”</w:t>
      </w:r>
      <w:r>
        <w:rPr>
          <w:spacing w:val="-2"/>
        </w:rPr>
        <w:t>，而中间的</w:t>
      </w:r>
      <w:r>
        <w:rPr>
          <w:spacing w:val="-7"/>
        </w:rPr>
        <w:t>清洗与监管将担负起数据质量提升的重要任务。该工具针对主数据管</w:t>
      </w:r>
      <w:r>
        <w:rPr>
          <w:spacing w:val="-2"/>
        </w:rPr>
        <w:t>理职能而开发，需具备以下基础功能：</w:t>
      </w:r>
    </w:p>
    <w:p>
      <w:pPr>
        <w:pStyle w:val="BodyText"/>
        <w:rPr>
          <w:sz w:val="20"/>
        </w:rPr>
      </w:pPr>
    </w:p>
    <w:p>
      <w:pPr>
        <w:pStyle w:val="BodyText"/>
        <w:rPr>
          <w:sz w:val="20"/>
        </w:rPr>
      </w:pPr>
    </w:p>
    <w:p>
      <w:pPr>
        <w:pStyle w:val="BodyText"/>
        <w:spacing w:before="11"/>
        <w:rPr>
          <w:sz w:val="25"/>
        </w:rPr>
      </w:pPr>
    </w:p>
    <w:p>
      <w:pPr>
        <w:spacing w:before="93"/>
        <w:ind w:left="1329" w:right="1325" w:firstLine="0"/>
        <w:jc w:val="center"/>
        <w:rPr>
          <w:rFonts w:ascii="Times New Roman"/>
          <w:sz w:val="18"/>
        </w:rPr>
      </w:pPr>
      <w:r>
        <w:rPr>
          <w:rFonts w:ascii="Times New Roman"/>
          <w:spacing w:val="-5"/>
          <w:sz w:val="18"/>
        </w:rPr>
        <w:t>38</w:t>
      </w:r>
    </w:p>
    <w:p>
      <w:pPr>
        <w:spacing w:after="0"/>
        <w:jc w:val="center"/>
        <w:rPr>
          <w:rFonts w:ascii="Times New Roman"/>
          <w:sz w:val="18"/>
        </w:rPr>
        <w:sectPr>
          <w:headerReference w:type="default" r:id="rId54"/>
          <w:pgSz w:w="11910" w:h="16840"/>
          <w:pgMar w:header="877" w:footer="0" w:top="1100" w:bottom="280" w:left="480" w:right="480"/>
        </w:sectPr>
      </w:pPr>
    </w:p>
    <w:p>
      <w:pPr>
        <w:pStyle w:val="BodyText"/>
        <w:rPr>
          <w:rFonts w:ascii="Times New Roman"/>
          <w:sz w:val="20"/>
        </w:rPr>
      </w:pPr>
    </w:p>
    <w:p>
      <w:pPr>
        <w:pStyle w:val="ListParagraph"/>
        <w:numPr>
          <w:ilvl w:val="1"/>
          <w:numId w:val="13"/>
        </w:numPr>
        <w:tabs>
          <w:tab w:pos="3001" w:val="left" w:leader="none"/>
        </w:tabs>
        <w:spacing w:line="417" w:lineRule="auto" w:before="225" w:after="0"/>
        <w:ind w:left="2299" w:right="1312" w:firstLine="201"/>
        <w:jc w:val="both"/>
        <w:rPr>
          <w:sz w:val="28"/>
        </w:rPr>
      </w:pPr>
      <w:r>
        <w:rPr>
          <w:spacing w:val="-4"/>
          <w:sz w:val="28"/>
        </w:rPr>
        <w:t>主数据存储、整合：实现主数据整合、清洗、校验、合</w:t>
      </w:r>
      <w:r>
        <w:rPr>
          <w:spacing w:val="-2"/>
          <w:sz w:val="28"/>
        </w:rPr>
        <w:t>并等功能，根据企业业务规则和企业数据质量标准对收集到</w:t>
      </w:r>
      <w:r>
        <w:rPr>
          <w:spacing w:val="-2"/>
          <w:sz w:val="28"/>
        </w:rPr>
        <w:t>的主数据进行加工和处理，用于提取分散在各个支撑系统中</w:t>
      </w:r>
      <w:r>
        <w:rPr>
          <w:spacing w:val="-2"/>
          <w:sz w:val="28"/>
        </w:rPr>
        <w:t>的主数据集中到主数据存储库，合并和维护唯一、完整、准</w:t>
      </w:r>
      <w:r>
        <w:rPr>
          <w:spacing w:val="-2"/>
          <w:sz w:val="28"/>
        </w:rPr>
        <w:t>确的主数据信息；</w:t>
      </w:r>
    </w:p>
    <w:p>
      <w:pPr>
        <w:pStyle w:val="ListParagraph"/>
        <w:numPr>
          <w:ilvl w:val="1"/>
          <w:numId w:val="13"/>
        </w:numPr>
        <w:tabs>
          <w:tab w:pos="3001" w:val="left" w:leader="none"/>
        </w:tabs>
        <w:spacing w:line="417" w:lineRule="auto" w:before="0" w:after="0"/>
        <w:ind w:left="2299" w:right="1314" w:firstLine="201"/>
        <w:jc w:val="both"/>
        <w:rPr>
          <w:sz w:val="28"/>
        </w:rPr>
      </w:pPr>
      <w:r>
        <w:rPr>
          <w:spacing w:val="-4"/>
          <w:sz w:val="28"/>
        </w:rPr>
        <w:t>主数据管理：支持对企业主数据的操作维护，包括主数</w:t>
      </w:r>
      <w:r>
        <w:rPr>
          <w:spacing w:val="-2"/>
          <w:sz w:val="28"/>
        </w:rPr>
        <w:t>据申请与校验、审批、变更、冻结</w:t>
      </w:r>
      <w:r>
        <w:rPr>
          <w:rFonts w:ascii="Times New Roman" w:hAnsi="Times New Roman" w:eastAsia="Times New Roman"/>
          <w:spacing w:val="-2"/>
          <w:sz w:val="28"/>
        </w:rPr>
        <w:t>/</w:t>
      </w:r>
      <w:r>
        <w:rPr>
          <w:spacing w:val="-2"/>
          <w:sz w:val="28"/>
        </w:rPr>
        <w:t>解冻、发布、归档等全生</w:t>
      </w:r>
      <w:r>
        <w:rPr>
          <w:spacing w:val="-2"/>
          <w:sz w:val="28"/>
        </w:rPr>
        <w:t>命周期管理；</w:t>
      </w:r>
    </w:p>
    <w:p>
      <w:pPr>
        <w:pStyle w:val="ListParagraph"/>
        <w:numPr>
          <w:ilvl w:val="1"/>
          <w:numId w:val="13"/>
        </w:numPr>
        <w:tabs>
          <w:tab w:pos="3001" w:val="left" w:leader="none"/>
        </w:tabs>
        <w:spacing w:line="417" w:lineRule="auto" w:before="0" w:after="0"/>
        <w:ind w:left="2299" w:right="1317" w:firstLine="201"/>
        <w:jc w:val="both"/>
        <w:rPr>
          <w:sz w:val="28"/>
        </w:rPr>
      </w:pPr>
      <w:r>
        <w:rPr>
          <w:spacing w:val="-6"/>
          <w:sz w:val="28"/>
        </w:rPr>
        <w:t>主数据分析：实现对主数据的变更情况监控，为主数据</w:t>
      </w:r>
      <w:r>
        <w:rPr>
          <w:spacing w:val="-2"/>
          <w:sz w:val="28"/>
        </w:rPr>
        <w:t>系统管理员提供对主数据进行分析、优化、统计、比较等功</w:t>
      </w:r>
      <w:r>
        <w:rPr>
          <w:spacing w:val="-6"/>
          <w:sz w:val="28"/>
        </w:rPr>
        <w:t>能；</w:t>
      </w:r>
    </w:p>
    <w:p>
      <w:pPr>
        <w:pStyle w:val="ListParagraph"/>
        <w:numPr>
          <w:ilvl w:val="1"/>
          <w:numId w:val="13"/>
        </w:numPr>
        <w:tabs>
          <w:tab w:pos="3000" w:val="left" w:leader="none"/>
          <w:tab w:pos="3001" w:val="left" w:leader="none"/>
        </w:tabs>
        <w:spacing w:line="417" w:lineRule="auto" w:before="0" w:after="0"/>
        <w:ind w:left="2299" w:right="1040" w:firstLine="201"/>
        <w:jc w:val="left"/>
        <w:rPr>
          <w:sz w:val="28"/>
        </w:rPr>
      </w:pPr>
      <w:r>
        <w:rPr>
          <w:spacing w:val="-2"/>
          <w:sz w:val="28"/>
        </w:rPr>
        <w:t>主数据分发与共享：实现主数据对外查询和分发服务，前者用于在其它系统发出针对主数据实时响应类查询请求时，</w:t>
      </w:r>
      <w:r>
        <w:rPr>
          <w:spacing w:val="-2"/>
          <w:sz w:val="28"/>
        </w:rPr>
        <w:t>返回所需数据，后者则用于提供批量数据分发服务，一般采</w:t>
      </w:r>
      <w:r>
        <w:rPr>
          <w:spacing w:val="40"/>
          <w:sz w:val="28"/>
        </w:rPr>
        <w:t> </w:t>
      </w:r>
      <w:r>
        <w:rPr>
          <w:sz w:val="28"/>
        </w:rPr>
        <w:t>用企业服务总线（</w:t>
      </w:r>
      <w:r>
        <w:rPr>
          <w:rFonts w:ascii="Times New Roman" w:hAnsi="Times New Roman" w:eastAsia="Times New Roman"/>
          <w:sz w:val="28"/>
        </w:rPr>
        <w:t>ESB </w:t>
      </w:r>
      <w:r>
        <w:rPr>
          <w:sz w:val="28"/>
        </w:rPr>
        <w:t>工具）实现方式。</w:t>
      </w:r>
    </w:p>
    <w:p>
      <w:pPr>
        <w:pStyle w:val="Heading3"/>
        <w:numPr>
          <w:ilvl w:val="0"/>
          <w:numId w:val="13"/>
        </w:numPr>
        <w:tabs>
          <w:tab w:pos="2580" w:val="left" w:leader="none"/>
          <w:tab w:pos="2581" w:val="left" w:leader="none"/>
        </w:tabs>
        <w:spacing w:line="240" w:lineRule="auto" w:before="250" w:after="0"/>
        <w:ind w:left="2580" w:right="0" w:hanging="620"/>
        <w:jc w:val="left"/>
      </w:pPr>
      <w:bookmarkStart w:name="_bookmark56" w:id="57"/>
      <w:bookmarkEnd w:id="57"/>
      <w:r>
        <w:rPr>
          <w:w w:val="95"/>
        </w:rPr>
        <w:t>数</w:t>
      </w:r>
      <w:r>
        <w:rPr>
          <w:w w:val="95"/>
        </w:rPr>
        <w:t>据</w:t>
      </w:r>
      <w:r>
        <w:rPr>
          <w:w w:val="95"/>
        </w:rPr>
        <w:t>质</w:t>
      </w:r>
      <w:r>
        <w:rPr>
          <w:w w:val="95"/>
        </w:rPr>
        <w:t>量</w:t>
      </w:r>
      <w:r>
        <w:rPr>
          <w:w w:val="95"/>
        </w:rPr>
        <w:t>管</w:t>
      </w:r>
      <w:r>
        <w:rPr>
          <w:w w:val="95"/>
        </w:rPr>
        <w:t>理</w:t>
      </w:r>
      <w:r>
        <w:rPr>
          <w:w w:val="95"/>
        </w:rPr>
        <w:t>工</w:t>
      </w:r>
      <w:r>
        <w:rPr>
          <w:spacing w:val="-10"/>
          <w:w w:val="95"/>
        </w:rPr>
        <w:t>具</w:t>
      </w:r>
    </w:p>
    <w:p>
      <w:pPr>
        <w:pStyle w:val="BodyText"/>
        <w:spacing w:line="417" w:lineRule="auto" w:before="302"/>
        <w:ind w:left="1320" w:right="1316" w:firstLine="559"/>
      </w:pPr>
      <w:r>
        <w:rPr>
          <w:spacing w:val="-6"/>
        </w:rPr>
        <w:t>数据质量管理工具从数据使用角度监控管理数据资产的质量，针</w:t>
      </w:r>
      <w:r>
        <w:rPr>
          <w:spacing w:val="-2"/>
        </w:rPr>
        <w:t>对数据质量管理职能而开发，需具备以下基础功能：</w:t>
      </w:r>
    </w:p>
    <w:p>
      <w:pPr>
        <w:pStyle w:val="ListParagraph"/>
        <w:numPr>
          <w:ilvl w:val="1"/>
          <w:numId w:val="13"/>
        </w:numPr>
        <w:tabs>
          <w:tab w:pos="3000" w:val="left" w:leader="none"/>
          <w:tab w:pos="3001" w:val="left" w:leader="none"/>
        </w:tabs>
        <w:spacing w:line="417" w:lineRule="auto" w:before="31" w:after="0"/>
        <w:ind w:left="2299" w:right="1036" w:firstLine="201"/>
        <w:jc w:val="left"/>
        <w:rPr>
          <w:sz w:val="28"/>
        </w:rPr>
      </w:pPr>
      <w:r>
        <w:rPr>
          <w:spacing w:val="-12"/>
          <w:sz w:val="28"/>
        </w:rPr>
        <w:t>质量需求管理：对数据使用过程中产生的问题进行收集、</w:t>
      </w:r>
      <w:r>
        <w:rPr>
          <w:spacing w:val="-2"/>
          <w:sz w:val="28"/>
        </w:rPr>
        <w:t>存储、分类并提供查询检索功能，为质量规则的制定提供依</w:t>
      </w:r>
      <w:r>
        <w:rPr>
          <w:spacing w:val="40"/>
          <w:sz w:val="28"/>
        </w:rPr>
        <w:t> </w:t>
      </w:r>
      <w:r>
        <w:rPr>
          <w:spacing w:val="-6"/>
          <w:sz w:val="28"/>
        </w:rPr>
        <w:t>据；</w:t>
      </w:r>
    </w:p>
    <w:p>
      <w:pPr>
        <w:pStyle w:val="BodyText"/>
        <w:rPr>
          <w:sz w:val="20"/>
        </w:rPr>
      </w:pPr>
    </w:p>
    <w:p>
      <w:pPr>
        <w:pStyle w:val="BodyText"/>
        <w:spacing w:before="5"/>
        <w:rPr>
          <w:sz w:val="18"/>
        </w:rPr>
      </w:pPr>
    </w:p>
    <w:p>
      <w:pPr>
        <w:spacing w:before="92"/>
        <w:ind w:left="1329" w:right="1325" w:firstLine="0"/>
        <w:jc w:val="center"/>
        <w:rPr>
          <w:rFonts w:ascii="Times New Roman"/>
          <w:sz w:val="18"/>
        </w:rPr>
      </w:pPr>
      <w:r>
        <w:rPr>
          <w:rFonts w:ascii="Times New Roman"/>
          <w:spacing w:val="-5"/>
          <w:sz w:val="18"/>
        </w:rPr>
        <w:t>39</w:t>
      </w:r>
    </w:p>
    <w:p>
      <w:pPr>
        <w:spacing w:after="0"/>
        <w:jc w:val="center"/>
        <w:rPr>
          <w:rFonts w:ascii="Times New Roman"/>
          <w:sz w:val="18"/>
        </w:rPr>
        <w:sectPr>
          <w:headerReference w:type="default" r:id="rId55"/>
          <w:pgSz w:w="11910" w:h="16840"/>
          <w:pgMar w:header="877" w:footer="0" w:top="1100" w:bottom="280" w:left="480" w:right="480"/>
        </w:sectPr>
      </w:pPr>
    </w:p>
    <w:p>
      <w:pPr>
        <w:pStyle w:val="BodyText"/>
        <w:rPr>
          <w:rFonts w:ascii="Times New Roman"/>
          <w:sz w:val="20"/>
        </w:rPr>
      </w:pPr>
    </w:p>
    <w:p>
      <w:pPr>
        <w:pStyle w:val="ListParagraph"/>
        <w:numPr>
          <w:ilvl w:val="1"/>
          <w:numId w:val="13"/>
        </w:numPr>
        <w:tabs>
          <w:tab w:pos="3001" w:val="left" w:leader="none"/>
        </w:tabs>
        <w:spacing w:line="417" w:lineRule="auto" w:before="225" w:after="0"/>
        <w:ind w:left="2299" w:right="1314" w:firstLine="201"/>
        <w:jc w:val="both"/>
        <w:rPr>
          <w:sz w:val="28"/>
        </w:rPr>
      </w:pPr>
      <w:r>
        <w:rPr>
          <w:spacing w:val="-9"/>
          <w:sz w:val="28"/>
        </w:rPr>
        <w:t>规则设置：能够提供稽核规则设置功能，用于设置一个</w:t>
      </w:r>
      <w:r>
        <w:rPr>
          <w:spacing w:val="-2"/>
          <w:sz w:val="28"/>
        </w:rPr>
        <w:t>稽核规则应用于哪类数据；</w:t>
      </w:r>
    </w:p>
    <w:p>
      <w:pPr>
        <w:pStyle w:val="ListParagraph"/>
        <w:numPr>
          <w:ilvl w:val="1"/>
          <w:numId w:val="13"/>
        </w:numPr>
        <w:tabs>
          <w:tab w:pos="3001" w:val="left" w:leader="none"/>
        </w:tabs>
        <w:spacing w:line="417" w:lineRule="auto" w:before="30" w:after="0"/>
        <w:ind w:left="2299" w:right="1317" w:firstLine="201"/>
        <w:jc w:val="both"/>
        <w:rPr>
          <w:sz w:val="28"/>
        </w:rPr>
      </w:pPr>
      <w:r>
        <w:rPr>
          <w:spacing w:val="-12"/>
          <w:sz w:val="28"/>
        </w:rPr>
        <w:t>规则校验：能够对所关注的数据执行数据质量规则的校</w:t>
      </w:r>
      <w:r>
        <w:rPr>
          <w:spacing w:val="-4"/>
          <w:sz w:val="28"/>
        </w:rPr>
        <w:t>验任务；</w:t>
      </w:r>
    </w:p>
    <w:p>
      <w:pPr>
        <w:pStyle w:val="ListParagraph"/>
        <w:numPr>
          <w:ilvl w:val="1"/>
          <w:numId w:val="13"/>
        </w:numPr>
        <w:tabs>
          <w:tab w:pos="3001" w:val="left" w:leader="none"/>
        </w:tabs>
        <w:spacing w:line="417" w:lineRule="auto" w:before="31" w:after="0"/>
        <w:ind w:left="2299" w:right="1313" w:firstLine="201"/>
        <w:jc w:val="both"/>
        <w:rPr>
          <w:sz w:val="28"/>
        </w:rPr>
      </w:pPr>
      <w:r>
        <w:rPr>
          <w:spacing w:val="-9"/>
          <w:sz w:val="28"/>
        </w:rPr>
        <w:t>任务管理：能够提供稽核任务调度功能，指定稽核任务</w:t>
      </w:r>
      <w:r>
        <w:rPr>
          <w:spacing w:val="-2"/>
          <w:sz w:val="28"/>
        </w:rPr>
        <w:t>周期执行；</w:t>
      </w:r>
    </w:p>
    <w:p>
      <w:pPr>
        <w:pStyle w:val="ListParagraph"/>
        <w:numPr>
          <w:ilvl w:val="1"/>
          <w:numId w:val="13"/>
        </w:numPr>
        <w:tabs>
          <w:tab w:pos="3001" w:val="left" w:leader="none"/>
        </w:tabs>
        <w:spacing w:line="417" w:lineRule="auto" w:before="31" w:after="0"/>
        <w:ind w:left="2299" w:right="1314" w:firstLine="201"/>
        <w:jc w:val="both"/>
        <w:rPr>
          <w:sz w:val="28"/>
        </w:rPr>
      </w:pPr>
      <w:r>
        <w:rPr>
          <w:spacing w:val="-9"/>
          <w:sz w:val="28"/>
        </w:rPr>
        <w:t>报告生成：能够对校验结果的质量问题进行记录，积累</w:t>
      </w:r>
      <w:r>
        <w:rPr>
          <w:spacing w:val="-2"/>
          <w:sz w:val="28"/>
        </w:rPr>
        <w:t>形成问题知识库，并生成报告，在此基础上，能够根据检核</w:t>
      </w:r>
      <w:r>
        <w:rPr>
          <w:spacing w:val="-2"/>
          <w:sz w:val="28"/>
        </w:rPr>
        <w:t>结果，生成对问题数据的质量提高建议，并可直接操作修改</w:t>
      </w:r>
      <w:r>
        <w:rPr>
          <w:spacing w:val="-4"/>
          <w:sz w:val="28"/>
        </w:rPr>
        <w:t>数据。</w:t>
      </w:r>
    </w:p>
    <w:p>
      <w:pPr>
        <w:pStyle w:val="Heading3"/>
        <w:numPr>
          <w:ilvl w:val="0"/>
          <w:numId w:val="13"/>
        </w:numPr>
        <w:tabs>
          <w:tab w:pos="2580" w:val="left" w:leader="none"/>
          <w:tab w:pos="2581" w:val="left" w:leader="none"/>
        </w:tabs>
        <w:spacing w:line="240" w:lineRule="auto" w:before="214" w:after="0"/>
        <w:ind w:left="2580" w:right="0" w:hanging="620"/>
        <w:jc w:val="left"/>
      </w:pPr>
      <w:bookmarkStart w:name="_bookmark57" w:id="58"/>
      <w:bookmarkEnd w:id="58"/>
      <w:r>
        <w:rPr>
          <w:w w:val="95"/>
        </w:rPr>
        <w:t>数</w:t>
      </w:r>
      <w:r>
        <w:rPr>
          <w:w w:val="95"/>
        </w:rPr>
        <w:t>据</w:t>
      </w:r>
      <w:r>
        <w:rPr>
          <w:w w:val="95"/>
        </w:rPr>
        <w:t>安</w:t>
      </w:r>
      <w:r>
        <w:rPr>
          <w:w w:val="95"/>
        </w:rPr>
        <w:t>全</w:t>
      </w:r>
      <w:r>
        <w:rPr>
          <w:w w:val="95"/>
        </w:rPr>
        <w:t>管</w:t>
      </w:r>
      <w:r>
        <w:rPr>
          <w:w w:val="95"/>
        </w:rPr>
        <w:t>理</w:t>
      </w:r>
      <w:r>
        <w:rPr>
          <w:w w:val="95"/>
        </w:rPr>
        <w:t>工</w:t>
      </w:r>
      <w:r>
        <w:rPr>
          <w:spacing w:val="-10"/>
          <w:w w:val="95"/>
        </w:rPr>
        <w:t>具</w:t>
      </w:r>
    </w:p>
    <w:p>
      <w:pPr>
        <w:pStyle w:val="BodyText"/>
        <w:spacing w:line="417" w:lineRule="auto" w:before="300"/>
        <w:ind w:left="1320" w:right="1317" w:firstLine="559"/>
        <w:jc w:val="both"/>
      </w:pPr>
      <w:r>
        <w:rPr>
          <w:spacing w:val="-2"/>
        </w:rPr>
        <w:t>数据安全管理工具是结合信息安全的技术手段保证数据资产使</w:t>
      </w:r>
      <w:r>
        <w:rPr>
          <w:spacing w:val="-6"/>
        </w:rPr>
        <w:t>用和交换共享过程中的安全。数据管理人员开展数据安全管理，是指</w:t>
      </w:r>
      <w:r>
        <w:rPr>
          <w:spacing w:val="-4"/>
        </w:rPr>
        <w:t>执行数据安全政策和措施，为数据和信息提供适当的认证、授权、访</w:t>
      </w:r>
      <w:r>
        <w:rPr>
          <w:spacing w:val="-2"/>
        </w:rPr>
        <w:t>问和审计，以防范可能的数据安全隐患。需具备以下基础功能：</w:t>
      </w:r>
    </w:p>
    <w:p>
      <w:pPr>
        <w:pStyle w:val="ListParagraph"/>
        <w:numPr>
          <w:ilvl w:val="1"/>
          <w:numId w:val="13"/>
        </w:numPr>
        <w:tabs>
          <w:tab w:pos="3001" w:val="left" w:leader="none"/>
        </w:tabs>
        <w:spacing w:line="417" w:lineRule="auto" w:before="30" w:after="0"/>
        <w:ind w:left="2299" w:right="1315" w:firstLine="201"/>
        <w:jc w:val="both"/>
        <w:rPr>
          <w:sz w:val="28"/>
        </w:rPr>
      </w:pPr>
      <w:r>
        <w:rPr>
          <w:spacing w:val="-12"/>
          <w:sz w:val="28"/>
        </w:rPr>
        <w:t>数据获取安全：能够支持数据获取需要经过申请与审批</w:t>
      </w:r>
      <w:r>
        <w:rPr>
          <w:spacing w:val="-2"/>
          <w:sz w:val="28"/>
        </w:rPr>
        <w:t>流程，保障数据获取安全；</w:t>
      </w:r>
    </w:p>
    <w:p>
      <w:pPr>
        <w:pStyle w:val="ListParagraph"/>
        <w:numPr>
          <w:ilvl w:val="1"/>
          <w:numId w:val="13"/>
        </w:numPr>
        <w:tabs>
          <w:tab w:pos="3001" w:val="left" w:leader="none"/>
        </w:tabs>
        <w:spacing w:line="417" w:lineRule="auto" w:before="32" w:after="0"/>
        <w:ind w:left="2299" w:right="1314" w:firstLine="201"/>
        <w:jc w:val="both"/>
        <w:rPr>
          <w:sz w:val="28"/>
        </w:rPr>
      </w:pPr>
      <w:r>
        <w:rPr>
          <w:spacing w:val="-6"/>
          <w:sz w:val="28"/>
        </w:rPr>
        <w:t>数据脱敏：能够支持数据脱敏规则、脱敏算法及脱敏任</w:t>
      </w:r>
      <w:r>
        <w:rPr>
          <w:spacing w:val="-2"/>
          <w:sz w:val="28"/>
        </w:rPr>
        <w:t>务的管理及应用，一般情况下，脱敏方式有动态脱敏和静态</w:t>
      </w:r>
      <w:r>
        <w:rPr>
          <w:spacing w:val="-2"/>
          <w:sz w:val="28"/>
        </w:rPr>
        <w:t>脱敏两种；</w:t>
      </w:r>
    </w:p>
    <w:p>
      <w:pPr>
        <w:pStyle w:val="ListParagraph"/>
        <w:numPr>
          <w:ilvl w:val="1"/>
          <w:numId w:val="13"/>
        </w:numPr>
        <w:tabs>
          <w:tab w:pos="3001" w:val="left" w:leader="none"/>
        </w:tabs>
        <w:spacing w:line="240" w:lineRule="auto" w:before="28" w:after="0"/>
        <w:ind w:left="3000" w:right="0" w:hanging="500"/>
        <w:jc w:val="both"/>
        <w:rPr>
          <w:sz w:val="28"/>
        </w:rPr>
      </w:pPr>
      <w:r>
        <w:rPr>
          <w:spacing w:val="-11"/>
          <w:sz w:val="28"/>
        </w:rPr>
        <w:t>统一认证：定义数据安全策略，定义用户组设立和密码</w:t>
      </w:r>
    </w:p>
    <w:p>
      <w:pPr>
        <w:pStyle w:val="BodyText"/>
        <w:rPr>
          <w:sz w:val="20"/>
        </w:rPr>
      </w:pPr>
    </w:p>
    <w:p>
      <w:pPr>
        <w:pStyle w:val="BodyText"/>
        <w:spacing w:before="6"/>
        <w:rPr>
          <w:sz w:val="20"/>
        </w:rPr>
      </w:pPr>
    </w:p>
    <w:p>
      <w:pPr>
        <w:spacing w:before="0"/>
        <w:ind w:left="1329" w:right="1325" w:firstLine="0"/>
        <w:jc w:val="center"/>
        <w:rPr>
          <w:rFonts w:ascii="Times New Roman"/>
          <w:sz w:val="18"/>
        </w:rPr>
      </w:pPr>
      <w:r>
        <w:rPr>
          <w:rFonts w:ascii="Times New Roman"/>
          <w:spacing w:val="-5"/>
          <w:sz w:val="18"/>
        </w:rPr>
        <w:t>40</w:t>
      </w:r>
    </w:p>
    <w:p>
      <w:pPr>
        <w:spacing w:after="0"/>
        <w:jc w:val="center"/>
        <w:rPr>
          <w:rFonts w:ascii="Times New Roman"/>
          <w:sz w:val="18"/>
        </w:rPr>
        <w:sectPr>
          <w:headerReference w:type="default" r:id="rId56"/>
          <w:pgSz w:w="11910" w:h="16840"/>
          <w:pgMar w:header="877" w:footer="0" w:top="1100" w:bottom="280" w:left="480" w:right="480"/>
        </w:sectPr>
      </w:pPr>
    </w:p>
    <w:p>
      <w:pPr>
        <w:pStyle w:val="BodyText"/>
        <w:rPr>
          <w:rFonts w:ascii="Times New Roman"/>
          <w:sz w:val="20"/>
        </w:rPr>
      </w:pPr>
    </w:p>
    <w:p>
      <w:pPr>
        <w:pStyle w:val="BodyText"/>
        <w:spacing w:before="225"/>
        <w:ind w:left="2299"/>
      </w:pPr>
      <w:r>
        <w:rPr>
          <w:spacing w:val="-3"/>
        </w:rPr>
        <w:t>标准等；</w:t>
      </w:r>
    </w:p>
    <w:p>
      <w:pPr>
        <w:pStyle w:val="BodyText"/>
        <w:spacing w:before="1"/>
        <w:rPr>
          <w:sz w:val="23"/>
        </w:rPr>
      </w:pPr>
    </w:p>
    <w:p>
      <w:pPr>
        <w:pStyle w:val="ListParagraph"/>
        <w:numPr>
          <w:ilvl w:val="1"/>
          <w:numId w:val="13"/>
        </w:numPr>
        <w:tabs>
          <w:tab w:pos="3000" w:val="left" w:leader="none"/>
          <w:tab w:pos="3001" w:val="left" w:leader="none"/>
        </w:tabs>
        <w:spacing w:line="240" w:lineRule="auto" w:before="0" w:after="0"/>
        <w:ind w:left="3000" w:right="0" w:hanging="500"/>
        <w:jc w:val="left"/>
        <w:rPr>
          <w:sz w:val="28"/>
        </w:rPr>
      </w:pPr>
      <w:r>
        <w:rPr>
          <w:spacing w:val="-3"/>
          <w:sz w:val="28"/>
        </w:rPr>
        <w:t>租户隔离：管理用户，密码，用户组和权限；</w:t>
      </w:r>
    </w:p>
    <w:p>
      <w:pPr>
        <w:pStyle w:val="BodyText"/>
        <w:spacing w:before="2"/>
        <w:rPr>
          <w:sz w:val="23"/>
        </w:rPr>
      </w:pPr>
    </w:p>
    <w:p>
      <w:pPr>
        <w:pStyle w:val="ListParagraph"/>
        <w:numPr>
          <w:ilvl w:val="1"/>
          <w:numId w:val="13"/>
        </w:numPr>
        <w:tabs>
          <w:tab w:pos="3000" w:val="left" w:leader="none"/>
          <w:tab w:pos="3001" w:val="left" w:leader="none"/>
        </w:tabs>
        <w:spacing w:line="417" w:lineRule="auto" w:before="0" w:after="0"/>
        <w:ind w:left="2299" w:right="1317" w:firstLine="201"/>
        <w:jc w:val="left"/>
        <w:rPr>
          <w:sz w:val="28"/>
        </w:rPr>
      </w:pPr>
      <w:r>
        <w:rPr>
          <w:spacing w:val="-6"/>
          <w:sz w:val="28"/>
        </w:rPr>
        <w:t>角色授权：划分信息等级，使用密级分类模式，对企业</w:t>
      </w:r>
      <w:r>
        <w:rPr>
          <w:spacing w:val="-2"/>
          <w:sz w:val="28"/>
        </w:rPr>
        <w:t>数据和信息产品进行分类；</w:t>
      </w:r>
    </w:p>
    <w:p>
      <w:pPr>
        <w:pStyle w:val="ListParagraph"/>
        <w:numPr>
          <w:ilvl w:val="1"/>
          <w:numId w:val="13"/>
        </w:numPr>
        <w:tabs>
          <w:tab w:pos="3000" w:val="left" w:leader="none"/>
          <w:tab w:pos="3001" w:val="left" w:leader="none"/>
        </w:tabs>
        <w:spacing w:line="417" w:lineRule="auto" w:before="31" w:after="0"/>
        <w:ind w:left="2299" w:right="1314" w:firstLine="201"/>
        <w:jc w:val="left"/>
        <w:rPr>
          <w:sz w:val="28"/>
        </w:rPr>
      </w:pPr>
      <w:r>
        <w:rPr>
          <w:spacing w:val="-9"/>
          <w:sz w:val="28"/>
        </w:rPr>
        <w:t>日志审计：审计数据安全，监控用户身份认证和访问行</w:t>
      </w:r>
      <w:r>
        <w:rPr>
          <w:spacing w:val="-2"/>
          <w:sz w:val="28"/>
        </w:rPr>
        <w:t>为，支持经常性分析。</w:t>
      </w:r>
    </w:p>
    <w:p>
      <w:pPr>
        <w:pStyle w:val="Heading3"/>
        <w:numPr>
          <w:ilvl w:val="0"/>
          <w:numId w:val="13"/>
        </w:numPr>
        <w:tabs>
          <w:tab w:pos="2580" w:val="left" w:leader="none"/>
          <w:tab w:pos="2581" w:val="left" w:leader="none"/>
        </w:tabs>
        <w:spacing w:line="240" w:lineRule="auto" w:before="214" w:after="0"/>
        <w:ind w:left="2580" w:right="0" w:hanging="620"/>
        <w:jc w:val="left"/>
      </w:pPr>
      <w:bookmarkStart w:name="_bookmark58" w:id="59"/>
      <w:bookmarkEnd w:id="59"/>
      <w:r>
        <w:rPr>
          <w:w w:val="95"/>
        </w:rPr>
        <w:t>数</w:t>
      </w:r>
      <w:r>
        <w:rPr>
          <w:w w:val="95"/>
        </w:rPr>
        <w:t>据</w:t>
      </w:r>
      <w:r>
        <w:rPr>
          <w:w w:val="95"/>
        </w:rPr>
        <w:t>生</w:t>
      </w:r>
      <w:r>
        <w:rPr>
          <w:w w:val="95"/>
        </w:rPr>
        <w:t>命</w:t>
      </w:r>
      <w:r>
        <w:rPr>
          <w:w w:val="95"/>
        </w:rPr>
        <w:t>周</w:t>
      </w:r>
      <w:r>
        <w:rPr>
          <w:w w:val="95"/>
        </w:rPr>
        <w:t>期</w:t>
      </w:r>
      <w:r>
        <w:rPr>
          <w:w w:val="95"/>
        </w:rPr>
        <w:t>管</w:t>
      </w:r>
      <w:r>
        <w:rPr>
          <w:w w:val="95"/>
        </w:rPr>
        <w:t>理</w:t>
      </w:r>
      <w:r>
        <w:rPr>
          <w:w w:val="95"/>
        </w:rPr>
        <w:t>工</w:t>
      </w:r>
      <w:r>
        <w:rPr>
          <w:spacing w:val="-10"/>
          <w:w w:val="95"/>
        </w:rPr>
        <w:t>具</w:t>
      </w:r>
    </w:p>
    <w:p>
      <w:pPr>
        <w:pStyle w:val="BodyText"/>
        <w:spacing w:line="417" w:lineRule="auto" w:before="300"/>
        <w:ind w:left="1320" w:right="1315" w:firstLine="559"/>
        <w:jc w:val="both"/>
      </w:pPr>
      <w:r>
        <w:rPr>
          <w:spacing w:val="-4"/>
        </w:rPr>
        <w:t>此外，业界还设计了数据生命周期管理工具，它将协助数据管理</w:t>
      </w:r>
      <w:r>
        <w:rPr>
          <w:spacing w:val="-4"/>
        </w:rPr>
        <w:t>组织和人员，在数据从产生、应用、归档到销毁的整个生命周期全过</w:t>
      </w:r>
      <w:r>
        <w:rPr>
          <w:spacing w:val="-10"/>
        </w:rPr>
        <w:t>程进行有效的自动化管理，针对不同生命周期阶段的数据建立多层次</w:t>
      </w:r>
      <w:r>
        <w:rPr>
          <w:spacing w:val="-4"/>
        </w:rPr>
        <w:t>的数据自动存储体系，既有效管控系统整体在线数据规模，降低系统</w:t>
      </w:r>
      <w:r>
        <w:rPr>
          <w:spacing w:val="-11"/>
        </w:rPr>
        <w:t>运营成本，又满足最终用户的数据访问和应用的需求。一般需具备以</w:t>
      </w:r>
      <w:r>
        <w:rPr>
          <w:spacing w:val="-2"/>
        </w:rPr>
        <w:t>下基础功能：</w:t>
      </w:r>
    </w:p>
    <w:p>
      <w:pPr>
        <w:pStyle w:val="BodyText"/>
        <w:spacing w:before="8"/>
        <w:rPr>
          <w:sz w:val="21"/>
        </w:rPr>
      </w:pPr>
    </w:p>
    <w:p>
      <w:pPr>
        <w:pStyle w:val="ListParagraph"/>
        <w:numPr>
          <w:ilvl w:val="1"/>
          <w:numId w:val="13"/>
        </w:numPr>
        <w:tabs>
          <w:tab w:pos="3001" w:val="left" w:leader="none"/>
        </w:tabs>
        <w:spacing w:line="417" w:lineRule="auto" w:before="0" w:after="0"/>
        <w:ind w:left="2299" w:right="1317" w:firstLine="201"/>
        <w:jc w:val="both"/>
        <w:rPr>
          <w:sz w:val="28"/>
        </w:rPr>
      </w:pPr>
      <w:r>
        <w:rPr>
          <w:spacing w:val="-12"/>
          <w:sz w:val="28"/>
        </w:rPr>
        <w:t>数据需求分析：通过数据库或者数据平台的各种数据分</w:t>
      </w:r>
      <w:r>
        <w:rPr>
          <w:spacing w:val="-2"/>
          <w:sz w:val="28"/>
        </w:rPr>
        <w:t>布分析和访问状态分析，协助数据管理人员对数据生命周期</w:t>
      </w:r>
      <w:r>
        <w:rPr>
          <w:spacing w:val="-2"/>
          <w:sz w:val="28"/>
        </w:rPr>
        <w:t>管理策略，有效发现和挖掘当前数据平台或者数据库中历史</w:t>
      </w:r>
      <w:r>
        <w:rPr>
          <w:spacing w:val="-2"/>
          <w:sz w:val="28"/>
        </w:rPr>
        <w:t>数据增长最快的关键数据，同时，为管理业务部门需求，满</w:t>
      </w:r>
      <w:r>
        <w:rPr>
          <w:spacing w:val="-2"/>
          <w:sz w:val="28"/>
        </w:rPr>
        <w:t>足业务部门对数据使用的要求提供有效的数据化支撑；</w:t>
      </w:r>
    </w:p>
    <w:p>
      <w:pPr>
        <w:pStyle w:val="ListParagraph"/>
        <w:numPr>
          <w:ilvl w:val="1"/>
          <w:numId w:val="13"/>
        </w:numPr>
        <w:tabs>
          <w:tab w:pos="3001" w:val="left" w:leader="none"/>
        </w:tabs>
        <w:spacing w:line="417" w:lineRule="auto" w:before="24" w:after="0"/>
        <w:ind w:left="2299" w:right="1315" w:firstLine="201"/>
        <w:jc w:val="both"/>
        <w:rPr>
          <w:sz w:val="28"/>
        </w:rPr>
      </w:pPr>
      <w:r>
        <w:rPr>
          <w:spacing w:val="-9"/>
          <w:sz w:val="28"/>
        </w:rPr>
        <w:t>策略管理：通过可视化的方式，由数据管理员在线建立</w:t>
      </w:r>
      <w:r>
        <w:rPr>
          <w:spacing w:val="-2"/>
          <w:sz w:val="28"/>
        </w:rPr>
        <w:t>清晰、合理、完整，可操作性强的数据生命周期管理基线和</w:t>
      </w:r>
      <w:r>
        <w:rPr>
          <w:spacing w:val="-2"/>
          <w:sz w:val="28"/>
        </w:rPr>
        <w:t>规范，并且以此为基准实现全企业的数据生命周期管理策略</w:t>
      </w:r>
    </w:p>
    <w:p>
      <w:pPr>
        <w:pStyle w:val="BodyText"/>
        <w:spacing w:before="1"/>
        <w:rPr>
          <w:sz w:val="13"/>
        </w:rPr>
      </w:pPr>
    </w:p>
    <w:p>
      <w:pPr>
        <w:spacing w:before="92"/>
        <w:ind w:left="1329" w:right="1325" w:firstLine="0"/>
        <w:jc w:val="center"/>
        <w:rPr>
          <w:rFonts w:ascii="Times New Roman"/>
          <w:sz w:val="18"/>
        </w:rPr>
      </w:pPr>
      <w:r>
        <w:rPr>
          <w:rFonts w:ascii="Times New Roman"/>
          <w:spacing w:val="-5"/>
          <w:sz w:val="18"/>
        </w:rPr>
        <w:t>41</w:t>
      </w:r>
    </w:p>
    <w:p>
      <w:pPr>
        <w:spacing w:after="0"/>
        <w:jc w:val="center"/>
        <w:rPr>
          <w:rFonts w:ascii="Times New Roman"/>
          <w:sz w:val="18"/>
        </w:rPr>
        <w:sectPr>
          <w:headerReference w:type="default" r:id="rId57"/>
          <w:pgSz w:w="11910" w:h="16840"/>
          <w:pgMar w:header="877" w:footer="0" w:top="1100" w:bottom="280" w:left="480" w:right="480"/>
        </w:sectPr>
      </w:pPr>
    </w:p>
    <w:p>
      <w:pPr>
        <w:pStyle w:val="BodyText"/>
        <w:rPr>
          <w:rFonts w:ascii="Times New Roman"/>
          <w:sz w:val="20"/>
        </w:rPr>
      </w:pPr>
    </w:p>
    <w:p>
      <w:pPr>
        <w:pStyle w:val="BodyText"/>
        <w:spacing w:line="417" w:lineRule="auto" w:before="225"/>
        <w:ind w:left="2299" w:right="1366"/>
      </w:pPr>
      <w:r>
        <w:rPr>
          <w:spacing w:val="-2"/>
        </w:rPr>
        <w:t>发布和需求管理，为企业建立一个行之有效的数据生命周期</w:t>
      </w:r>
      <w:r>
        <w:rPr>
          <w:spacing w:val="-2"/>
        </w:rPr>
        <w:t>变更管理和变更审查机制；</w:t>
      </w:r>
    </w:p>
    <w:p>
      <w:pPr>
        <w:pStyle w:val="ListParagraph"/>
        <w:numPr>
          <w:ilvl w:val="1"/>
          <w:numId w:val="13"/>
        </w:numPr>
        <w:tabs>
          <w:tab w:pos="3000" w:val="left" w:leader="none"/>
          <w:tab w:pos="3001" w:val="left" w:leader="none"/>
        </w:tabs>
        <w:spacing w:line="417" w:lineRule="auto" w:before="23" w:after="0"/>
        <w:ind w:left="2299" w:right="1317" w:firstLine="201"/>
        <w:jc w:val="left"/>
        <w:rPr>
          <w:sz w:val="28"/>
        </w:rPr>
      </w:pPr>
      <w:r>
        <w:rPr>
          <w:spacing w:val="-12"/>
          <w:sz w:val="28"/>
        </w:rPr>
        <w:t>自动化数据管理：根据在工具中建立的数据生命周期管</w:t>
      </w:r>
      <w:r>
        <w:rPr>
          <w:sz w:val="28"/>
        </w:rPr>
        <w:t>理策略，实现数据在异构平台（</w:t>
      </w:r>
      <w:r>
        <w:rPr>
          <w:spacing w:val="-5"/>
          <w:sz w:val="28"/>
        </w:rPr>
        <w:t>例如从 </w:t>
      </w:r>
      <w:r>
        <w:rPr>
          <w:rFonts w:ascii="Times New Roman" w:hAnsi="Times New Roman" w:eastAsia="Times New Roman"/>
          <w:sz w:val="28"/>
        </w:rPr>
        <w:t>oracle -&gt; mySQL</w:t>
      </w:r>
      <w:r>
        <w:rPr>
          <w:sz w:val="28"/>
        </w:rPr>
        <w:t>， </w:t>
      </w:r>
      <w:r>
        <w:rPr>
          <w:rFonts w:ascii="Times New Roman" w:hAnsi="Times New Roman" w:eastAsia="Times New Roman"/>
          <w:sz w:val="28"/>
        </w:rPr>
        <w:t>HBase </w:t>
      </w:r>
      <w:r>
        <w:rPr>
          <w:sz w:val="28"/>
        </w:rPr>
        <w:t>等）中的全自动化迁移、归档、清理，建立一个多层</w:t>
      </w:r>
      <w:r>
        <w:rPr>
          <w:spacing w:val="-2"/>
          <w:sz w:val="28"/>
        </w:rPr>
        <w:t>次的自动化数据分级存储技术体系，实现数据生命周期管理</w:t>
      </w:r>
      <w:r>
        <w:rPr>
          <w:spacing w:val="-2"/>
          <w:sz w:val="28"/>
        </w:rPr>
        <w:t>策略实施的自动化、标准化和规范化；</w:t>
      </w:r>
    </w:p>
    <w:p>
      <w:pPr>
        <w:pStyle w:val="ListParagraph"/>
        <w:numPr>
          <w:ilvl w:val="1"/>
          <w:numId w:val="13"/>
        </w:numPr>
        <w:tabs>
          <w:tab w:pos="3001" w:val="left" w:leader="none"/>
        </w:tabs>
        <w:spacing w:line="417" w:lineRule="auto" w:before="24" w:after="0"/>
        <w:ind w:left="2299" w:right="1314" w:firstLine="201"/>
        <w:jc w:val="both"/>
        <w:rPr>
          <w:sz w:val="28"/>
        </w:rPr>
      </w:pPr>
      <w:r>
        <w:rPr>
          <w:spacing w:val="-4"/>
          <w:sz w:val="28"/>
        </w:rPr>
        <w:t>其他辅助能力：工具需要支持数据校验能力，保持迁移</w:t>
      </w:r>
      <w:r>
        <w:rPr>
          <w:spacing w:val="-2"/>
          <w:sz w:val="28"/>
        </w:rPr>
        <w:t>和清理前后的数据一致性和有效性；迁移前后，支持详细的</w:t>
      </w:r>
      <w:r>
        <w:rPr>
          <w:spacing w:val="-2"/>
          <w:sz w:val="28"/>
        </w:rPr>
        <w:t>数据生命周期管理报告，让数据管理员清晰了解企业中各种</w:t>
      </w:r>
      <w:r>
        <w:rPr>
          <w:spacing w:val="-2"/>
          <w:sz w:val="28"/>
        </w:rPr>
        <w:t>历史数据的状态；平台支持水平扩展，数据处理能力可以通</w:t>
      </w:r>
      <w:r>
        <w:rPr>
          <w:spacing w:val="-2"/>
          <w:sz w:val="28"/>
        </w:rPr>
        <w:t>过增加集群结点方式进行水平扩展。</w:t>
      </w:r>
    </w:p>
    <w:p>
      <w:pPr>
        <w:pStyle w:val="Heading2"/>
        <w:spacing w:before="252"/>
      </w:pPr>
      <w:bookmarkStart w:name="_bookmark59" w:id="60"/>
      <w:bookmarkEnd w:id="60"/>
      <w:r>
        <w:rPr>
          <w:b w:val="0"/>
        </w:rPr>
      </w:r>
      <w:r>
        <w:rPr>
          <w:rFonts w:ascii="Times New Roman" w:eastAsia="Times New Roman"/>
        </w:rPr>
        <w:t>(</w:t>
      </w:r>
      <w:r>
        <w:rPr/>
        <w:t>四</w:t>
      </w:r>
      <w:r>
        <w:rPr>
          <w:rFonts w:ascii="Times New Roman" w:eastAsia="Times New Roman"/>
          <w:spacing w:val="-3"/>
        </w:rPr>
        <w:t>) </w:t>
      </w:r>
      <w:r>
        <w:rPr/>
        <w:t>成</w:t>
      </w:r>
      <w:r>
        <w:rPr/>
        <w:t>功</w:t>
      </w:r>
      <w:r>
        <w:rPr/>
        <w:t>要</w:t>
      </w:r>
      <w:r>
        <w:rPr>
          <w:spacing w:val="-10"/>
        </w:rPr>
        <w:t>素</w:t>
      </w:r>
    </w:p>
    <w:p>
      <w:pPr>
        <w:pStyle w:val="BodyText"/>
        <w:spacing w:before="5"/>
        <w:rPr>
          <w:rFonts w:ascii="楷体"/>
          <w:b/>
          <w:sz w:val="35"/>
        </w:rPr>
      </w:pPr>
    </w:p>
    <w:p>
      <w:pPr>
        <w:pStyle w:val="Heading3"/>
        <w:numPr>
          <w:ilvl w:val="0"/>
          <w:numId w:val="14"/>
        </w:numPr>
        <w:tabs>
          <w:tab w:pos="2580" w:val="left" w:leader="none"/>
          <w:tab w:pos="2581" w:val="left" w:leader="none"/>
        </w:tabs>
        <w:spacing w:line="240" w:lineRule="auto" w:before="0" w:after="0"/>
        <w:ind w:left="2580" w:right="0" w:hanging="620"/>
        <w:jc w:val="left"/>
      </w:pPr>
      <w:bookmarkStart w:name="_bookmark60" w:id="61"/>
      <w:bookmarkEnd w:id="61"/>
      <w:r>
        <w:rPr>
          <w:w w:val="95"/>
        </w:rPr>
        <w:t>明</w:t>
      </w:r>
      <w:r>
        <w:rPr>
          <w:w w:val="95"/>
        </w:rPr>
        <w:t>确</w:t>
      </w:r>
      <w:r>
        <w:rPr>
          <w:w w:val="95"/>
        </w:rPr>
        <w:t>责</w:t>
      </w:r>
      <w:r>
        <w:rPr>
          <w:w w:val="95"/>
        </w:rPr>
        <w:t>权</w:t>
      </w:r>
      <w:r>
        <w:rPr>
          <w:w w:val="95"/>
        </w:rPr>
        <w:t>利</w:t>
      </w:r>
      <w:r>
        <w:rPr>
          <w:w w:val="95"/>
        </w:rPr>
        <w:t>标</w:t>
      </w:r>
      <w:r>
        <w:rPr>
          <w:w w:val="95"/>
        </w:rPr>
        <w:t>，有</w:t>
      </w:r>
      <w:r>
        <w:rPr>
          <w:w w:val="95"/>
        </w:rPr>
        <w:t>效</w:t>
      </w:r>
      <w:r>
        <w:rPr>
          <w:w w:val="95"/>
        </w:rPr>
        <w:t>推</w:t>
      </w:r>
      <w:r>
        <w:rPr>
          <w:w w:val="95"/>
        </w:rPr>
        <w:t>进</w:t>
      </w:r>
      <w:r>
        <w:rPr>
          <w:w w:val="95"/>
        </w:rPr>
        <w:t>管</w:t>
      </w:r>
      <w:r>
        <w:rPr>
          <w:spacing w:val="-10"/>
          <w:w w:val="95"/>
        </w:rPr>
        <w:t>理</w:t>
      </w:r>
    </w:p>
    <w:p>
      <w:pPr>
        <w:pStyle w:val="BodyText"/>
        <w:spacing w:line="417" w:lineRule="auto" w:before="302"/>
        <w:ind w:left="1320" w:right="1179" w:firstLine="559"/>
      </w:pPr>
      <w:r>
        <w:rPr>
          <w:spacing w:val="-2"/>
        </w:rPr>
        <w:t>数据资产管理最重要的成功要素之一就是重视组织管理的作用，</w:t>
      </w:r>
      <w:r>
        <w:rPr>
          <w:spacing w:val="-12"/>
        </w:rPr>
        <w:t>将责权利清晰化，逐步建立健全包括管理型人才和技术性人才的适应</w:t>
      </w:r>
      <w:r>
        <w:rPr>
          <w:spacing w:val="-2"/>
        </w:rPr>
        <w:t>数据发展的人才结构，减少工作推进阻碍。并注重数据标准化环节以</w:t>
      </w:r>
      <w:r>
        <w:rPr>
          <w:spacing w:val="-2"/>
        </w:rPr>
        <w:t>保障信息体系不发生混乱，确保数据规范一致性。数据标准是数据资</w:t>
      </w:r>
      <w:r>
        <w:rPr>
          <w:spacing w:val="-2"/>
        </w:rPr>
        <w:t>产管理的基础，是对数据资产进行准确定义的过程。对于一个拥有大</w:t>
      </w:r>
      <w:r>
        <w:rPr>
          <w:spacing w:val="-2"/>
        </w:rPr>
        <w:t>量数据资产的企业，或者是要实现数据资产交易的企业而言，构建数</w:t>
      </w:r>
      <w:r>
        <w:rPr>
          <w:spacing w:val="-2"/>
        </w:rPr>
        <w:t>据标准是一件必须要做的事情。标准化是解决数据的关联能力，保障</w:t>
      </w:r>
    </w:p>
    <w:p>
      <w:pPr>
        <w:spacing w:before="109"/>
        <w:ind w:left="1329" w:right="1325" w:firstLine="0"/>
        <w:jc w:val="center"/>
        <w:rPr>
          <w:rFonts w:ascii="Times New Roman"/>
          <w:sz w:val="18"/>
        </w:rPr>
      </w:pPr>
      <w:r>
        <w:rPr>
          <w:rFonts w:ascii="Times New Roman"/>
          <w:spacing w:val="-5"/>
          <w:sz w:val="18"/>
        </w:rPr>
        <w:t>42</w:t>
      </w:r>
    </w:p>
    <w:p>
      <w:pPr>
        <w:spacing w:after="0"/>
        <w:jc w:val="center"/>
        <w:rPr>
          <w:rFonts w:ascii="Times New Roman"/>
          <w:sz w:val="18"/>
        </w:rPr>
        <w:sectPr>
          <w:headerReference w:type="default" r:id="rId5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037"/>
      </w:pPr>
      <w:r>
        <w:rPr>
          <w:spacing w:val="-2"/>
        </w:rPr>
        <w:t>信息的交互、流动、系统可访问，提高数据活化能力。保障信息体系</w:t>
      </w:r>
      <w:r>
        <w:rPr>
          <w:spacing w:val="-2"/>
        </w:rPr>
        <w:t> 不发生混乱，确保数据规范一致性</w:t>
      </w:r>
      <w:r>
        <w:rPr>
          <w:rFonts w:ascii="Times New Roman" w:hAnsi="Times New Roman" w:eastAsia="Times New Roman"/>
          <w:spacing w:val="-2"/>
        </w:rPr>
        <w:t>——</w:t>
      </w:r>
      <w:r>
        <w:rPr>
          <w:spacing w:val="-2"/>
        </w:rPr>
        <w:t>避免数据混乱、冲突、多样、</w:t>
      </w:r>
      <w:r>
        <w:rPr>
          <w:spacing w:val="-12"/>
        </w:rPr>
        <w:t>一数多源。数据资产管理的核心目的是有效综合运营数据以服务企业，</w:t>
      </w:r>
      <w:r>
        <w:rPr>
          <w:spacing w:val="-2"/>
        </w:rPr>
        <w:t>让数据成为利润中心的一部分，这离不开管理，更离不开技术。</w:t>
      </w:r>
    </w:p>
    <w:p>
      <w:pPr>
        <w:pStyle w:val="BodyText"/>
      </w:pPr>
    </w:p>
    <w:p>
      <w:pPr>
        <w:pStyle w:val="BodyText"/>
        <w:spacing w:before="10"/>
        <w:rPr>
          <w:sz w:val="39"/>
        </w:rPr>
      </w:pPr>
    </w:p>
    <w:p>
      <w:pPr>
        <w:pStyle w:val="Heading3"/>
        <w:numPr>
          <w:ilvl w:val="0"/>
          <w:numId w:val="14"/>
        </w:numPr>
        <w:tabs>
          <w:tab w:pos="2580" w:val="left" w:leader="none"/>
          <w:tab w:pos="2581" w:val="left" w:leader="none"/>
        </w:tabs>
        <w:spacing w:line="240" w:lineRule="auto" w:before="0" w:after="0"/>
        <w:ind w:left="2580" w:right="0" w:hanging="620"/>
        <w:jc w:val="left"/>
      </w:pPr>
      <w:bookmarkStart w:name="_bookmark61" w:id="62"/>
      <w:bookmarkEnd w:id="62"/>
      <w:r>
        <w:rPr>
          <w:w w:val="95"/>
        </w:rPr>
        <w:t>合</w:t>
      </w:r>
      <w:r>
        <w:rPr>
          <w:w w:val="95"/>
        </w:rPr>
        <w:t>理</w:t>
      </w:r>
      <w:r>
        <w:rPr>
          <w:w w:val="95"/>
        </w:rPr>
        <w:t>引</w:t>
      </w:r>
      <w:r>
        <w:rPr>
          <w:w w:val="95"/>
        </w:rPr>
        <w:t>进</w:t>
      </w:r>
      <w:r>
        <w:rPr>
          <w:w w:val="95"/>
        </w:rPr>
        <w:t>技</w:t>
      </w:r>
      <w:r>
        <w:rPr>
          <w:w w:val="95"/>
        </w:rPr>
        <w:t>术</w:t>
      </w:r>
      <w:r>
        <w:rPr>
          <w:w w:val="95"/>
        </w:rPr>
        <w:t>，提</w:t>
      </w:r>
      <w:r>
        <w:rPr>
          <w:w w:val="95"/>
        </w:rPr>
        <w:t>升</w:t>
      </w:r>
      <w:r>
        <w:rPr>
          <w:w w:val="95"/>
        </w:rPr>
        <w:t>治</w:t>
      </w:r>
      <w:r>
        <w:rPr>
          <w:w w:val="95"/>
        </w:rPr>
        <w:t>理</w:t>
      </w:r>
      <w:r>
        <w:rPr>
          <w:w w:val="95"/>
        </w:rPr>
        <w:t>能</w:t>
      </w:r>
      <w:r>
        <w:rPr>
          <w:spacing w:val="-10"/>
          <w:w w:val="95"/>
        </w:rPr>
        <w:t>力</w:t>
      </w:r>
    </w:p>
    <w:p>
      <w:pPr>
        <w:pStyle w:val="BodyText"/>
        <w:spacing w:line="417" w:lineRule="auto" w:before="300"/>
        <w:ind w:left="1320" w:right="1311" w:firstLine="559"/>
        <w:jc w:val="both"/>
      </w:pPr>
      <w:r>
        <w:rPr>
          <w:spacing w:val="-4"/>
        </w:rPr>
        <w:t>人工智能、物联网、新一代移动通信、智能制造、空天一体化网络、量子计算、机器学习、深度学习、图像处理、自然语言处理、</w:t>
      </w:r>
      <w:r>
        <w:rPr>
          <w:rFonts w:ascii="Times New Roman" w:eastAsia="Times New Roman"/>
          <w:spacing w:val="-4"/>
        </w:rPr>
        <w:t>4k</w:t>
      </w:r>
      <w:r>
        <w:rPr>
          <w:spacing w:val="-4"/>
        </w:rPr>
        <w:t>高清、知识图谱、类脑计算、区块链、虚拟现实、增强现实等前沿技</w:t>
      </w:r>
      <w:r>
        <w:rPr>
          <w:spacing w:val="-4"/>
        </w:rPr>
        <w:t>术正在大数据的推动下蓬勃发展。然而，在实现数据资产管理的过程</w:t>
      </w:r>
      <w:r>
        <w:rPr>
          <w:spacing w:val="-4"/>
        </w:rPr>
        <w:t>中，应根据自身实际情况，避免盲从，合理引进创新技术以提高数据</w:t>
      </w:r>
      <w:r>
        <w:rPr>
          <w:spacing w:val="-4"/>
        </w:rPr>
        <w:t>挖掘准确性和挖掘效率，节省人力成本。信息时代万物数化，企业拥</w:t>
      </w:r>
      <w:r>
        <w:rPr>
          <w:spacing w:val="-24"/>
        </w:rPr>
        <w:t>有数据的规模、活性以及收集、运用数据的能力，决定其核心竞争力。</w:t>
      </w:r>
      <w:r>
        <w:rPr>
          <w:spacing w:val="-4"/>
        </w:rPr>
        <w:t>掌控数据，就可以支配市场，意味着巨大的投资回报，数据是企业的</w:t>
      </w:r>
      <w:r>
        <w:rPr>
          <w:spacing w:val="-9"/>
        </w:rPr>
        <w:t>核心资产。数据在实现价值的过程中需要充分依托技术，但更离不开</w:t>
      </w:r>
      <w:r>
        <w:rPr>
          <w:spacing w:val="-4"/>
        </w:rPr>
        <w:t>结合自身业务与应用，合理规划。大数据和云计算的建立与开放至关</w:t>
      </w:r>
      <w:r>
        <w:rPr>
          <w:spacing w:val="-4"/>
        </w:rPr>
        <w:t>重要，可以帮助企业梳理数据内容，高效检索展示，最终给企业带来</w:t>
      </w:r>
      <w:r>
        <w:rPr>
          <w:spacing w:val="-10"/>
        </w:rPr>
        <w:t>一定的经济收益和社会效应。但其应用的成功与否还是要取决于企业</w:t>
      </w:r>
      <w:r>
        <w:rPr>
          <w:spacing w:val="-4"/>
        </w:rPr>
        <w:t>自身商业模式的建立，以数据融合技术为战略资产的商业模式，可以</w:t>
      </w:r>
      <w:r>
        <w:rPr>
          <w:spacing w:val="-2"/>
        </w:rPr>
        <w:t>决定企业未来。</w:t>
      </w:r>
    </w:p>
    <w:p>
      <w:pPr>
        <w:pStyle w:val="Heading3"/>
        <w:numPr>
          <w:ilvl w:val="0"/>
          <w:numId w:val="14"/>
        </w:numPr>
        <w:tabs>
          <w:tab w:pos="2580" w:val="left" w:leader="none"/>
          <w:tab w:pos="2581" w:val="left" w:leader="none"/>
        </w:tabs>
        <w:spacing w:line="240" w:lineRule="auto" w:before="212" w:after="0"/>
        <w:ind w:left="2580" w:right="0" w:hanging="620"/>
        <w:jc w:val="left"/>
      </w:pPr>
      <w:bookmarkStart w:name="_bookmark62" w:id="63"/>
      <w:bookmarkEnd w:id="63"/>
      <w:r>
        <w:rPr>
          <w:w w:val="95"/>
        </w:rPr>
        <w:t>着</w:t>
      </w:r>
      <w:r>
        <w:rPr>
          <w:w w:val="95"/>
        </w:rPr>
        <w:t>眼</w:t>
      </w:r>
      <w:r>
        <w:rPr>
          <w:w w:val="95"/>
        </w:rPr>
        <w:t>业</w:t>
      </w:r>
      <w:r>
        <w:rPr>
          <w:w w:val="95"/>
        </w:rPr>
        <w:t>务</w:t>
      </w:r>
      <w:r>
        <w:rPr>
          <w:w w:val="95"/>
        </w:rPr>
        <w:t>应</w:t>
      </w:r>
      <w:r>
        <w:rPr>
          <w:w w:val="95"/>
        </w:rPr>
        <w:t>用</w:t>
      </w:r>
      <w:r>
        <w:rPr>
          <w:w w:val="95"/>
        </w:rPr>
        <w:t>，释</w:t>
      </w:r>
      <w:r>
        <w:rPr>
          <w:w w:val="95"/>
        </w:rPr>
        <w:t>放</w:t>
      </w:r>
      <w:r>
        <w:rPr>
          <w:w w:val="95"/>
        </w:rPr>
        <w:t>数</w:t>
      </w:r>
      <w:r>
        <w:rPr>
          <w:w w:val="95"/>
        </w:rPr>
        <w:t>据</w:t>
      </w:r>
      <w:r>
        <w:rPr>
          <w:w w:val="95"/>
        </w:rPr>
        <w:t>价</w:t>
      </w:r>
      <w:r>
        <w:rPr>
          <w:spacing w:val="-10"/>
          <w:w w:val="95"/>
        </w:rPr>
        <w:t>值</w:t>
      </w:r>
    </w:p>
    <w:p>
      <w:pPr>
        <w:pStyle w:val="BodyText"/>
        <w:rPr>
          <w:rFonts w:ascii="楷体"/>
          <w:sz w:val="20"/>
        </w:rPr>
      </w:pPr>
    </w:p>
    <w:p>
      <w:pPr>
        <w:pStyle w:val="BodyText"/>
        <w:spacing w:before="7"/>
        <w:rPr>
          <w:rFonts w:ascii="楷体"/>
          <w:sz w:val="21"/>
        </w:rPr>
      </w:pPr>
    </w:p>
    <w:p>
      <w:pPr>
        <w:spacing w:before="93"/>
        <w:ind w:left="1329" w:right="1325" w:firstLine="0"/>
        <w:jc w:val="center"/>
        <w:rPr>
          <w:rFonts w:ascii="Times New Roman"/>
          <w:sz w:val="18"/>
        </w:rPr>
      </w:pPr>
      <w:r>
        <w:rPr>
          <w:rFonts w:ascii="Times New Roman"/>
          <w:spacing w:val="-5"/>
          <w:sz w:val="18"/>
        </w:rPr>
        <w:t>43</w:t>
      </w:r>
    </w:p>
    <w:p>
      <w:pPr>
        <w:spacing w:after="0"/>
        <w:jc w:val="center"/>
        <w:rPr>
          <w:rFonts w:ascii="Times New Roman"/>
          <w:sz w:val="18"/>
        </w:rPr>
        <w:sectPr>
          <w:headerReference w:type="default" r:id="rId5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2" w:firstLine="559"/>
        <w:jc w:val="both"/>
      </w:pPr>
      <w:r>
        <w:rPr>
          <w:spacing w:val="-4"/>
        </w:rPr>
        <w:t>数据资产化进程给各类企业带来重生、颠覆和创新，企业应重点</w:t>
      </w:r>
      <w:r>
        <w:rPr>
          <w:spacing w:val="-4"/>
        </w:rPr>
        <w:t>关注、顺势而为，建立起符合自身业务和数据特点的数据资产化体系</w:t>
      </w:r>
      <w:r>
        <w:rPr>
          <w:spacing w:val="-4"/>
        </w:rPr>
        <w:t>和能力，数据资产管理人员不能只陷于数据资产管理工作，还应紧密</w:t>
      </w:r>
      <w:r>
        <w:rPr>
          <w:spacing w:val="-9"/>
        </w:rPr>
        <w:t>联系业务，只有明确了前端业务需求，才能做到数据资产管理过程中</w:t>
      </w:r>
      <w:r>
        <w:rPr>
          <w:spacing w:val="-4"/>
        </w:rPr>
        <w:t>的有的放矢，张弛有度。数据的价值体现在决策精准、敏锐洞察，数</w:t>
      </w:r>
      <w:r>
        <w:rPr>
          <w:spacing w:val="-4"/>
        </w:rPr>
        <w:t>据资产管理能够使管理具流程化、规范化，结合业务应用的数据资产</w:t>
      </w:r>
      <w:r>
        <w:rPr>
          <w:spacing w:val="-10"/>
        </w:rPr>
        <w:t>管理不仅使数据保值增值，还将会给企业带来更加巨大的经济效益和</w:t>
      </w:r>
      <w:r>
        <w:rPr>
          <w:spacing w:val="-2"/>
        </w:rPr>
        <w:t>社会效益。</w:t>
      </w:r>
    </w:p>
    <w:p>
      <w:pPr>
        <w:pStyle w:val="Heading3"/>
        <w:numPr>
          <w:ilvl w:val="0"/>
          <w:numId w:val="14"/>
        </w:numPr>
        <w:tabs>
          <w:tab w:pos="2580" w:val="left" w:leader="none"/>
          <w:tab w:pos="2581" w:val="left" w:leader="none"/>
        </w:tabs>
        <w:spacing w:line="240" w:lineRule="auto" w:before="213" w:after="0"/>
        <w:ind w:left="2580" w:right="0" w:hanging="620"/>
        <w:jc w:val="left"/>
      </w:pPr>
      <w:bookmarkStart w:name="_bookmark63" w:id="64"/>
      <w:bookmarkEnd w:id="64"/>
      <w:r>
        <w:rPr>
          <w:w w:val="95"/>
        </w:rPr>
        <w:t>加</w:t>
      </w:r>
      <w:r>
        <w:rPr>
          <w:w w:val="95"/>
        </w:rPr>
        <w:t>强</w:t>
      </w:r>
      <w:r>
        <w:rPr>
          <w:w w:val="95"/>
        </w:rPr>
        <w:t>数</w:t>
      </w:r>
      <w:r>
        <w:rPr>
          <w:w w:val="95"/>
        </w:rPr>
        <w:t>据</w:t>
      </w:r>
      <w:r>
        <w:rPr>
          <w:w w:val="95"/>
        </w:rPr>
        <w:t>合</w:t>
      </w:r>
      <w:r>
        <w:rPr>
          <w:w w:val="95"/>
        </w:rPr>
        <w:t>规</w:t>
      </w:r>
      <w:r>
        <w:rPr>
          <w:w w:val="95"/>
        </w:rPr>
        <w:t>，注</w:t>
      </w:r>
      <w:r>
        <w:rPr>
          <w:w w:val="95"/>
        </w:rPr>
        <w:t>重</w:t>
      </w:r>
      <w:r>
        <w:rPr>
          <w:w w:val="95"/>
        </w:rPr>
        <w:t>风</w:t>
      </w:r>
      <w:r>
        <w:rPr>
          <w:w w:val="95"/>
        </w:rPr>
        <w:t>险</w:t>
      </w:r>
      <w:r>
        <w:rPr>
          <w:w w:val="95"/>
        </w:rPr>
        <w:t>风</w:t>
      </w:r>
      <w:r>
        <w:rPr>
          <w:spacing w:val="-10"/>
          <w:w w:val="95"/>
        </w:rPr>
        <w:t>控</w:t>
      </w:r>
    </w:p>
    <w:p>
      <w:pPr>
        <w:pStyle w:val="BodyText"/>
        <w:spacing w:line="417" w:lineRule="auto" w:before="299"/>
        <w:ind w:left="1320" w:right="1178" w:firstLine="559"/>
      </w:pPr>
      <w:r>
        <w:rPr>
          <w:spacing w:val="-2"/>
        </w:rPr>
        <w:t>在数据资产管理的过程中，综合考虑困难及挑战，并全面管控风</w:t>
      </w:r>
      <w:r>
        <w:rPr>
          <w:spacing w:val="-2"/>
        </w:rPr>
        <w:t>险，要基于行业模型、行业标准等积累完整、准确的内外部数据以保</w:t>
      </w:r>
      <w:r>
        <w:rPr>
          <w:spacing w:val="-18"/>
        </w:rPr>
        <w:t>证数据合规性，进而规避风险。数据资产管理是一项持之以恒的工作，</w:t>
      </w:r>
      <w:r>
        <w:rPr>
          <w:spacing w:val="-9"/>
        </w:rPr>
        <w:t>不可能一蹴而就，需要一个循序渐进的过程分阶段进行。要做好充分</w:t>
      </w:r>
      <w:r>
        <w:rPr>
          <w:spacing w:val="-2"/>
        </w:rPr>
        <w:t>地长期作战准备，就一定要加强数据合规操作，避免安全漏洞，及时</w:t>
      </w:r>
      <w:r>
        <w:rPr>
          <w:spacing w:val="-2"/>
        </w:rPr>
        <w:t>风险风控。</w:t>
      </w:r>
    </w:p>
    <w:p>
      <w:pPr>
        <w:pStyle w:val="Heading3"/>
        <w:numPr>
          <w:ilvl w:val="0"/>
          <w:numId w:val="14"/>
        </w:numPr>
        <w:tabs>
          <w:tab w:pos="2580" w:val="left" w:leader="none"/>
          <w:tab w:pos="2581" w:val="left" w:leader="none"/>
        </w:tabs>
        <w:spacing w:line="240" w:lineRule="auto" w:before="214" w:after="0"/>
        <w:ind w:left="2580" w:right="0" w:hanging="620"/>
        <w:jc w:val="left"/>
      </w:pPr>
      <w:bookmarkStart w:name="_bookmark64" w:id="65"/>
      <w:bookmarkEnd w:id="65"/>
      <w:r>
        <w:rPr>
          <w:w w:val="95"/>
        </w:rPr>
        <w:t>持</w:t>
      </w:r>
      <w:r>
        <w:rPr>
          <w:w w:val="95"/>
        </w:rPr>
        <w:t>续</w:t>
      </w:r>
      <w:r>
        <w:rPr>
          <w:w w:val="95"/>
        </w:rPr>
        <w:t>迭</w:t>
      </w:r>
      <w:r>
        <w:rPr>
          <w:w w:val="95"/>
        </w:rPr>
        <w:t>代</w:t>
      </w:r>
      <w:r>
        <w:rPr>
          <w:w w:val="95"/>
        </w:rPr>
        <w:t>完</w:t>
      </w:r>
      <w:r>
        <w:rPr>
          <w:w w:val="95"/>
        </w:rPr>
        <w:t>善</w:t>
      </w:r>
      <w:r>
        <w:rPr>
          <w:w w:val="95"/>
        </w:rPr>
        <w:t>，形</w:t>
      </w:r>
      <w:r>
        <w:rPr>
          <w:w w:val="95"/>
        </w:rPr>
        <w:t>成</w:t>
      </w:r>
      <w:r>
        <w:rPr>
          <w:w w:val="95"/>
        </w:rPr>
        <w:t>良</w:t>
      </w:r>
      <w:r>
        <w:rPr>
          <w:w w:val="95"/>
        </w:rPr>
        <w:t>性</w:t>
      </w:r>
      <w:r>
        <w:rPr>
          <w:w w:val="95"/>
        </w:rPr>
        <w:t>闭</w:t>
      </w:r>
      <w:r>
        <w:rPr>
          <w:spacing w:val="-10"/>
          <w:w w:val="95"/>
        </w:rPr>
        <w:t>环</w:t>
      </w:r>
    </w:p>
    <w:p>
      <w:pPr>
        <w:pStyle w:val="BodyText"/>
        <w:spacing w:line="417" w:lineRule="auto" w:before="299"/>
        <w:ind w:left="1320" w:right="1314" w:firstLine="559"/>
        <w:jc w:val="both"/>
      </w:pPr>
      <w:r>
        <w:rPr>
          <w:spacing w:val="-6"/>
        </w:rPr>
        <w:t>一步到位建立一套完美的数据资产管理体系是很困难的。主要原</w:t>
      </w:r>
      <w:r>
        <w:rPr>
          <w:spacing w:val="-4"/>
        </w:rPr>
        <w:t>因是业务需求会随着市场环境不断变化，技术手段也在不断革新，因</w:t>
      </w:r>
      <w:r>
        <w:rPr>
          <w:spacing w:val="-6"/>
        </w:rPr>
        <w:t>此数据资产管理体系不是一劳永逸、一蹴而就的，需要建立一个小步</w:t>
      </w:r>
      <w:r>
        <w:rPr>
          <w:spacing w:val="-4"/>
        </w:rPr>
        <w:t>迭代的数据资产管理循环模式。在管理制度层面，需要制定有利于业</w:t>
      </w:r>
      <w:r>
        <w:rPr>
          <w:spacing w:val="-13"/>
        </w:rPr>
        <w:t>务人员、技术人员积极为数据资产管理体系循环迭代完善献言献策的</w:t>
      </w:r>
    </w:p>
    <w:p>
      <w:pPr>
        <w:spacing w:before="138"/>
        <w:ind w:left="1329" w:right="1325" w:firstLine="0"/>
        <w:jc w:val="center"/>
        <w:rPr>
          <w:rFonts w:ascii="Times New Roman"/>
          <w:sz w:val="18"/>
        </w:rPr>
      </w:pPr>
      <w:r>
        <w:rPr>
          <w:rFonts w:ascii="Times New Roman"/>
          <w:spacing w:val="-5"/>
          <w:sz w:val="18"/>
        </w:rPr>
        <w:t>44</w:t>
      </w:r>
    </w:p>
    <w:p>
      <w:pPr>
        <w:spacing w:after="0"/>
        <w:jc w:val="center"/>
        <w:rPr>
          <w:rFonts w:ascii="Times New Roman"/>
          <w:sz w:val="18"/>
        </w:rPr>
        <w:sectPr>
          <w:headerReference w:type="default" r:id="rId60"/>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5"/>
        <w:jc w:val="both"/>
      </w:pPr>
      <w:r>
        <w:rPr>
          <w:spacing w:val="-4"/>
        </w:rPr>
        <w:t>方法和制度，进而促使数据资产管理体系在实践中日趋成熟；在技术</w:t>
      </w:r>
      <w:r>
        <w:rPr>
          <w:spacing w:val="6"/>
        </w:rPr>
        <w:t>平台方面，要借鉴</w:t>
      </w:r>
      <w:r>
        <w:rPr>
          <w:rFonts w:ascii="Times New Roman" w:eastAsia="Times New Roman"/>
        </w:rPr>
        <w:t>DevOps</w:t>
      </w:r>
      <w:r>
        <w:rPr>
          <w:rFonts w:ascii="Times New Roman" w:eastAsia="Times New Roman"/>
          <w:spacing w:val="-18"/>
        </w:rPr>
        <w:t> </w:t>
      </w:r>
      <w:r>
        <w:rPr/>
        <w:t>的理念，促进开发、技术运营和质量保障</w:t>
      </w:r>
      <w:r>
        <w:rPr>
          <w:spacing w:val="-4"/>
        </w:rPr>
        <w:t>部门之间的沟通、协作与整合，确保数据资产管理系统平台持续、健</w:t>
      </w:r>
      <w:r>
        <w:rPr>
          <w:spacing w:val="-2"/>
        </w:rPr>
        <w:t>康地为数据资产管理体系服务。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spacing w:before="93"/>
        <w:ind w:left="1329" w:right="1325" w:firstLine="0"/>
        <w:jc w:val="center"/>
        <w:rPr>
          <w:rFonts w:ascii="Times New Roman"/>
          <w:sz w:val="18"/>
        </w:rPr>
      </w:pPr>
      <w:r>
        <w:rPr>
          <w:rFonts w:ascii="Times New Roman"/>
          <w:spacing w:val="-5"/>
          <w:sz w:val="18"/>
        </w:rPr>
        <w:t>45</w:t>
      </w:r>
    </w:p>
    <w:p>
      <w:pPr>
        <w:spacing w:after="0"/>
        <w:jc w:val="center"/>
        <w:rPr>
          <w:rFonts w:ascii="Times New Roman"/>
          <w:sz w:val="18"/>
        </w:rPr>
        <w:sectPr>
          <w:headerReference w:type="default" r:id="rId61"/>
          <w:pgSz w:w="11910" w:h="16840"/>
          <w:pgMar w:header="877" w:footer="0" w:top="1100" w:bottom="280" w:left="480" w:right="480"/>
        </w:sectPr>
      </w:pPr>
    </w:p>
    <w:p>
      <w:pPr>
        <w:pStyle w:val="BodyText"/>
        <w:rPr>
          <w:rFonts w:ascii="Times New Roman"/>
          <w:sz w:val="20"/>
        </w:rPr>
      </w:pPr>
    </w:p>
    <w:p>
      <w:pPr>
        <w:pStyle w:val="Heading3"/>
        <w:spacing w:before="199"/>
        <w:ind w:left="1961" w:firstLine="0"/>
        <w:rPr>
          <w:rFonts w:ascii="黑体" w:eastAsia="黑体"/>
        </w:rPr>
      </w:pPr>
      <w:bookmarkStart w:name="_bookmark65" w:id="66"/>
      <w:bookmarkEnd w:id="66"/>
      <w:r>
        <w:rPr/>
      </w:r>
      <w:r>
        <w:rPr>
          <w:rFonts w:ascii="黑体" w:eastAsia="黑体"/>
          <w:spacing w:val="12"/>
        </w:rPr>
        <w:t>四、  总</w:t>
      </w:r>
      <w:r>
        <w:rPr>
          <w:rFonts w:ascii="黑体" w:eastAsia="黑体"/>
        </w:rPr>
        <w:t>结</w:t>
      </w:r>
      <w:r>
        <w:rPr>
          <w:rFonts w:ascii="黑体" w:eastAsia="黑体"/>
        </w:rPr>
        <w:t>与</w:t>
      </w:r>
      <w:r>
        <w:rPr>
          <w:rFonts w:ascii="黑体" w:eastAsia="黑体"/>
          <w:spacing w:val="-5"/>
        </w:rPr>
        <w:t>展望</w:t>
      </w:r>
    </w:p>
    <w:p>
      <w:pPr>
        <w:pStyle w:val="BodyText"/>
        <w:spacing w:before="5"/>
        <w:rPr>
          <w:rFonts w:ascii="黑体"/>
          <w:sz w:val="23"/>
        </w:rPr>
      </w:pPr>
    </w:p>
    <w:p>
      <w:pPr>
        <w:pStyle w:val="BodyText"/>
        <w:spacing w:line="417" w:lineRule="auto"/>
        <w:ind w:left="1320" w:right="1175" w:firstLine="559"/>
        <w:rPr>
          <w:sz w:val="14"/>
        </w:rPr>
      </w:pPr>
      <w:r>
        <w:rPr>
          <w:rFonts w:ascii="Times New Roman" w:hAnsi="Times New Roman" w:eastAsia="Times New Roman"/>
          <w:spacing w:val="-2"/>
        </w:rPr>
        <w:t>“</w:t>
      </w:r>
      <w:r>
        <w:rPr>
          <w:spacing w:val="-2"/>
        </w:rPr>
        <w:t>数据之于本世纪，就像石油之于上世纪：它是发展和改变的动</w:t>
      </w:r>
      <w:r>
        <w:rPr>
          <w:spacing w:val="-25"/>
        </w:rPr>
        <w:t>力。数据已经产生了新的基础设施、商业领域、垄断机构、政治理论，</w:t>
      </w:r>
      <w:r>
        <w:rPr>
          <w:spacing w:val="-2"/>
        </w:rPr>
        <w:t>最关键的是，还产生了一种新经济。数据信息不像过去的其他资源，</w:t>
      </w:r>
      <w:r>
        <w:rPr>
          <w:spacing w:val="-2"/>
        </w:rPr>
        <w:t>它采用不同的方式提取、加工、估值和交易。它改变了市场规则，要</w:t>
      </w:r>
      <w:r>
        <w:rPr>
          <w:spacing w:val="-2"/>
        </w:rPr>
        <w:t>求使用新的管理方式。</w:t>
      </w:r>
      <w:r>
        <w:rPr>
          <w:rFonts w:ascii="Times New Roman" w:hAnsi="Times New Roman" w:eastAsia="Times New Roman"/>
          <w:spacing w:val="-2"/>
        </w:rPr>
        <w:t>”</w:t>
      </w:r>
      <w:r>
        <w:rPr>
          <w:spacing w:val="-2"/>
          <w:position w:val="13"/>
          <w:sz w:val="14"/>
        </w:rPr>
        <w:t>⑧</w:t>
      </w:r>
    </w:p>
    <w:p>
      <w:pPr>
        <w:pStyle w:val="BodyText"/>
        <w:spacing w:line="417" w:lineRule="auto" w:before="31"/>
        <w:ind w:left="1320" w:right="1314" w:firstLine="559"/>
        <w:jc w:val="both"/>
      </w:pPr>
      <w:r>
        <w:rPr>
          <w:spacing w:val="-4"/>
        </w:rPr>
        <w:t>数据作为日益重要的战略资源，需要完善的管理体系。为此，中</w:t>
      </w:r>
      <w:r>
        <w:rPr>
          <w:spacing w:val="-6"/>
        </w:rPr>
        <w:t>国信息通信研究院云计算与大数据研究所组织成员单位编写了《数据</w:t>
      </w:r>
      <w:r>
        <w:rPr>
          <w:spacing w:val="-14"/>
        </w:rPr>
        <w:t>资产管理实践白皮书》，阐述了大数据背景下的数据资产管理概念和</w:t>
      </w:r>
      <w:r>
        <w:rPr>
          <w:spacing w:val="-4"/>
        </w:rPr>
        <w:t>特征，描述了数据资产管理的主要管理职能和保障措施，提炼了实施</w:t>
      </w:r>
      <w:r>
        <w:rPr>
          <w:spacing w:val="-5"/>
        </w:rPr>
        <w:t>数据资产管理的主要步骤。白皮书的目的是澄清概念，梳理经验形成</w:t>
      </w:r>
      <w:r>
        <w:rPr>
          <w:spacing w:val="-4"/>
        </w:rPr>
        <w:t>方法论，希望引起业界对数据资产管理工作的重视，为数据资产管理</w:t>
      </w:r>
      <w:r>
        <w:rPr>
          <w:spacing w:val="-2"/>
        </w:rPr>
        <w:t>研究和实践提供参考。</w:t>
      </w:r>
    </w:p>
    <w:p>
      <w:pPr>
        <w:pStyle w:val="BodyText"/>
        <w:spacing w:line="417" w:lineRule="auto" w:before="30"/>
        <w:ind w:left="1320" w:right="1177" w:firstLine="559"/>
      </w:pPr>
      <w:r>
        <w:rPr>
          <w:spacing w:val="-2"/>
        </w:rPr>
        <w:t>我们也认识到，数据资产管理知识体系涉及管理、技术等多个学</w:t>
      </w:r>
      <w:r>
        <w:rPr>
          <w:spacing w:val="-2"/>
        </w:rPr>
        <w:t>科，是一个非常复杂的系统工程，相关工作在国内刚刚起步，理论还</w:t>
      </w:r>
      <w:r>
        <w:rPr/>
        <w:t>不完善，也缺乏广泛的实践基础。虽然国外 </w:t>
      </w:r>
      <w:r>
        <w:rPr>
          <w:rFonts w:ascii="Times New Roman" w:eastAsia="Times New Roman"/>
        </w:rPr>
        <w:t>DAMA</w:t>
      </w:r>
      <w:r>
        <w:rPr/>
        <w:t>、</w:t>
      </w:r>
      <w:r>
        <w:rPr>
          <w:rFonts w:ascii="Times New Roman" w:eastAsia="Times New Roman"/>
        </w:rPr>
        <w:t>CMMI</w:t>
      </w:r>
      <w:r>
        <w:rPr>
          <w:rFonts w:ascii="Times New Roman" w:eastAsia="Times New Roman"/>
          <w:spacing w:val="43"/>
        </w:rPr>
        <w:t> </w:t>
      </w:r>
      <w:r>
        <w:rPr/>
        <w:t>等机构</w:t>
      </w:r>
      <w:r>
        <w:rPr>
          <w:spacing w:val="-8"/>
        </w:rPr>
        <w:t>近几年也提出了数据管理的理论框架，对我们开展数据资产管理研究</w:t>
      </w:r>
      <w:r>
        <w:rPr>
          <w:spacing w:val="-2"/>
        </w:rPr>
        <w:t>有一定的借鉴意义。但数据资产管理，除了借鉴国际经验之外，还需</w:t>
      </w:r>
      <w:r>
        <w:rPr>
          <w:spacing w:val="-18"/>
        </w:rPr>
        <w:t>要深入结合信息化基础、大数据应用所处阶段、应用和组织架构特点，</w:t>
      </w:r>
      <w:r>
        <w:rPr>
          <w:spacing w:val="-2"/>
        </w:rPr>
        <w:t>在理论和实践上开展创新。</w:t>
      </w:r>
    </w:p>
    <w:p>
      <w:pPr>
        <w:pStyle w:val="BodyText"/>
        <w:spacing w:before="30"/>
        <w:ind w:left="1879"/>
      </w:pPr>
      <w:r>
        <w:rPr>
          <w:spacing w:val="-1"/>
        </w:rPr>
        <w:t>由于时间仓促，水平所限，我们的工作还有很多不足。下一步，</w:t>
      </w:r>
    </w:p>
    <w:p>
      <w:pPr>
        <w:pStyle w:val="BodyText"/>
        <w:rPr>
          <w:sz w:val="20"/>
        </w:rPr>
      </w:pPr>
      <w:r>
        <w:rPr/>
        <w:pict>
          <v:rect style="position:absolute;margin-left:90.024002pt;margin-top:14.061381pt;width:144.020pt;height:.71997pt;mso-position-horizontal-relative:page;mso-position-vertical-relative:paragraph;z-index:-15719424;mso-wrap-distance-left:0;mso-wrap-distance-right:0" id="docshape152" filled="true" fillcolor="#000000" stroked="false">
            <v:fill type="solid"/>
            <w10:wrap type="topAndBottom"/>
          </v:rect>
        </w:pict>
      </w:r>
    </w:p>
    <w:p>
      <w:pPr>
        <w:spacing w:line="230" w:lineRule="exact" w:before="96"/>
        <w:ind w:left="1320" w:right="0" w:firstLine="0"/>
        <w:jc w:val="left"/>
        <w:rPr>
          <w:rFonts w:ascii="宋体" w:hAnsi="宋体" w:eastAsia="宋体"/>
          <w:sz w:val="18"/>
        </w:rPr>
      </w:pPr>
      <w:r>
        <w:rPr>
          <w:rFonts w:ascii="宋体" w:hAnsi="宋体" w:eastAsia="宋体"/>
          <w:spacing w:val="22"/>
          <w:position w:val="9"/>
          <w:sz w:val="9"/>
        </w:rPr>
        <w:t>⑧ </w:t>
      </w:r>
      <w:r>
        <w:rPr>
          <w:rFonts w:ascii="宋体" w:hAnsi="宋体" w:eastAsia="宋体"/>
          <w:spacing w:val="-9"/>
          <w:sz w:val="18"/>
        </w:rPr>
        <w:t>数据是未来的石油：数据如何推动新经济增长，《经济学人》，</w:t>
      </w:r>
      <w:r>
        <w:rPr>
          <w:rFonts w:ascii="Times New Roman" w:hAnsi="Times New Roman" w:eastAsia="Times New Roman"/>
          <w:sz w:val="18"/>
        </w:rPr>
        <w:t>2017</w:t>
      </w:r>
      <w:r>
        <w:rPr>
          <w:rFonts w:ascii="Times New Roman" w:hAnsi="Times New Roman" w:eastAsia="Times New Roman"/>
          <w:spacing w:val="2"/>
          <w:sz w:val="18"/>
        </w:rPr>
        <w:t> </w:t>
      </w:r>
      <w:r>
        <w:rPr>
          <w:rFonts w:ascii="宋体" w:hAnsi="宋体" w:eastAsia="宋体"/>
          <w:spacing w:val="-24"/>
          <w:sz w:val="18"/>
        </w:rPr>
        <w:t>年 </w:t>
      </w:r>
      <w:r>
        <w:rPr>
          <w:rFonts w:ascii="Times New Roman" w:hAnsi="Times New Roman" w:eastAsia="Times New Roman"/>
          <w:sz w:val="18"/>
        </w:rPr>
        <w:t>5</w:t>
      </w:r>
      <w:r>
        <w:rPr>
          <w:rFonts w:ascii="Times New Roman" w:hAnsi="Times New Roman" w:eastAsia="Times New Roman"/>
          <w:spacing w:val="1"/>
          <w:sz w:val="18"/>
        </w:rPr>
        <w:t> </w:t>
      </w:r>
      <w:r>
        <w:rPr>
          <w:rFonts w:ascii="宋体" w:hAnsi="宋体" w:eastAsia="宋体"/>
          <w:spacing w:val="-5"/>
          <w:sz w:val="18"/>
        </w:rPr>
        <w:t>月，</w:t>
      </w:r>
    </w:p>
    <w:p>
      <w:pPr>
        <w:spacing w:before="0"/>
        <w:ind w:left="1320" w:right="0" w:firstLine="0"/>
        <w:jc w:val="left"/>
        <w:rPr>
          <w:rFonts w:ascii="Times New Roman"/>
          <w:sz w:val="18"/>
        </w:rPr>
      </w:pPr>
      <w:r>
        <w:rPr>
          <w:rFonts w:ascii="Times New Roman"/>
          <w:w w:val="95"/>
          <w:sz w:val="18"/>
        </w:rPr>
        <w:t>https:/</w:t>
      </w:r>
      <w:hyperlink r:id="rId63">
        <w:r>
          <w:rPr>
            <w:rFonts w:ascii="Times New Roman"/>
            <w:w w:val="95"/>
            <w:sz w:val="18"/>
          </w:rPr>
          <w:t>/www</w:t>
        </w:r>
      </w:hyperlink>
      <w:r>
        <w:rPr>
          <w:rFonts w:ascii="Times New Roman"/>
          <w:w w:val="95"/>
          <w:sz w:val="18"/>
        </w:rPr>
        <w:t>.</w:t>
      </w:r>
      <w:hyperlink r:id="rId63">
        <w:r>
          <w:rPr>
            <w:rFonts w:ascii="Times New Roman"/>
            <w:w w:val="95"/>
            <w:sz w:val="18"/>
          </w:rPr>
          <w:t>economist.com/news/briefing/21721634-how-it-shaping-up-data-giving-rise-new-</w:t>
        </w:r>
        <w:r>
          <w:rPr>
            <w:rFonts w:ascii="Times New Roman"/>
            <w:spacing w:val="-2"/>
            <w:w w:val="95"/>
            <w:sz w:val="18"/>
          </w:rPr>
          <w:t>economy</w:t>
        </w:r>
      </w:hyperlink>
    </w:p>
    <w:p>
      <w:pPr>
        <w:spacing w:before="21"/>
        <w:ind w:left="1329" w:right="1325" w:firstLine="0"/>
        <w:jc w:val="center"/>
        <w:rPr>
          <w:rFonts w:ascii="Times New Roman"/>
          <w:sz w:val="18"/>
        </w:rPr>
      </w:pPr>
      <w:r>
        <w:rPr>
          <w:rFonts w:ascii="Times New Roman"/>
          <w:spacing w:val="-5"/>
          <w:sz w:val="18"/>
        </w:rPr>
        <w:t>46</w:t>
      </w:r>
    </w:p>
    <w:p>
      <w:pPr>
        <w:spacing w:after="0"/>
        <w:jc w:val="center"/>
        <w:rPr>
          <w:rFonts w:ascii="Times New Roman"/>
          <w:sz w:val="18"/>
        </w:rPr>
        <w:sectPr>
          <w:headerReference w:type="default" r:id="rId62"/>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6"/>
        <w:jc w:val="both"/>
      </w:pPr>
      <w:r>
        <w:rPr>
          <w:spacing w:val="-6"/>
        </w:rPr>
        <w:t>我们还将广泛采纳各方面意见建议，进一步深化相关研究，持续完善</w:t>
      </w:r>
      <w:r>
        <w:rPr>
          <w:spacing w:val="-4"/>
        </w:rPr>
        <w:t>白皮书内容。在已有版本的基础上，适时修订发布新版，并结合管理</w:t>
      </w:r>
      <w:r>
        <w:rPr>
          <w:spacing w:val="-11"/>
        </w:rPr>
        <w:t>职能的特点，梳理形成《主数据管理实践白皮书》</w:t>
      </w:r>
      <w:r>
        <w:rPr>
          <w:spacing w:val="-24"/>
        </w:rPr>
        <w:t>、《元数据管理实践</w:t>
      </w:r>
      <w:r>
        <w:rPr>
          <w:spacing w:val="-23"/>
        </w:rPr>
        <w:t>白皮书》、《数据标准管理实践白皮书》等。诚邀各界专家学者参与我</w:t>
      </w:r>
      <w:r>
        <w:rPr>
          <w:spacing w:val="-4"/>
        </w:rPr>
        <w:t>们的研究工作，积极献言献策，共同完善国内数据资产管理理论和方</w:t>
      </w:r>
      <w:r>
        <w:rPr>
          <w:spacing w:val="-2"/>
        </w:rPr>
        <w:t>法论体系，为促进大数据与实体经济深度融合做出积极贡献。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92"/>
        <w:ind w:left="1329" w:right="1325" w:firstLine="0"/>
        <w:jc w:val="center"/>
        <w:rPr>
          <w:rFonts w:ascii="Times New Roman"/>
          <w:sz w:val="18"/>
        </w:rPr>
      </w:pPr>
      <w:r>
        <w:rPr>
          <w:rFonts w:ascii="Times New Roman"/>
          <w:spacing w:val="-5"/>
          <w:sz w:val="18"/>
        </w:rPr>
        <w:t>47</w:t>
      </w:r>
    </w:p>
    <w:p>
      <w:pPr>
        <w:spacing w:after="0"/>
        <w:jc w:val="center"/>
        <w:rPr>
          <w:rFonts w:ascii="Times New Roman"/>
          <w:sz w:val="18"/>
        </w:rPr>
        <w:sectPr>
          <w:headerReference w:type="default" r:id="rId64"/>
          <w:pgSz w:w="11910" w:h="16840"/>
          <w:pgMar w:header="877" w:footer="0" w:top="1100" w:bottom="280" w:left="480" w:right="4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pStyle w:val="Heading3"/>
        <w:spacing w:before="54"/>
        <w:ind w:left="1320" w:firstLine="0"/>
        <w:rPr>
          <w:rFonts w:ascii="黑体" w:eastAsia="黑体"/>
        </w:rPr>
      </w:pPr>
      <w:bookmarkStart w:name="_bookmark66" w:id="67"/>
      <w:bookmarkEnd w:id="67"/>
      <w:r>
        <w:rPr/>
      </w:r>
      <w:r>
        <w:rPr>
          <w:rFonts w:ascii="黑体" w:eastAsia="黑体"/>
          <w:w w:val="95"/>
        </w:rPr>
        <w:t>附</w:t>
      </w:r>
      <w:r>
        <w:rPr>
          <w:rFonts w:ascii="黑体" w:eastAsia="黑体"/>
          <w:w w:val="95"/>
        </w:rPr>
        <w:t>录</w:t>
      </w:r>
      <w:r>
        <w:rPr>
          <w:rFonts w:ascii="黑体" w:eastAsia="黑体"/>
          <w:w w:val="95"/>
        </w:rPr>
        <w:t>一</w:t>
      </w:r>
      <w:r>
        <w:rPr>
          <w:rFonts w:ascii="黑体" w:eastAsia="黑体"/>
          <w:w w:val="95"/>
        </w:rPr>
        <w:t>：</w:t>
      </w:r>
      <w:r>
        <w:rPr>
          <w:rFonts w:ascii="黑体" w:eastAsia="黑体"/>
          <w:w w:val="95"/>
        </w:rPr>
        <w:t>术</w:t>
      </w:r>
      <w:r>
        <w:rPr>
          <w:rFonts w:ascii="黑体" w:eastAsia="黑体"/>
          <w:spacing w:val="-10"/>
          <w:w w:val="95"/>
        </w:rPr>
        <w:t>语</w:t>
      </w:r>
    </w:p>
    <w:p>
      <w:pPr>
        <w:pStyle w:val="ListParagraph"/>
        <w:numPr>
          <w:ilvl w:val="0"/>
          <w:numId w:val="15"/>
        </w:numPr>
        <w:tabs>
          <w:tab w:pos="2180" w:val="left" w:leader="none"/>
        </w:tabs>
        <w:spacing w:line="240" w:lineRule="auto" w:before="261" w:after="0"/>
        <w:ind w:left="2179" w:right="0" w:hanging="421"/>
        <w:jc w:val="left"/>
        <w:rPr>
          <w:rFonts w:ascii="Times New Roman" w:eastAsia="Times New Roman"/>
          <w:sz w:val="22"/>
        </w:rPr>
      </w:pPr>
      <w:r>
        <w:rPr>
          <w:spacing w:val="-1"/>
          <w:sz w:val="22"/>
        </w:rPr>
        <w:t>数据管理 </w:t>
      </w:r>
      <w:r>
        <w:rPr>
          <w:rFonts w:ascii="Times New Roman" w:eastAsia="Times New Roman"/>
          <w:sz w:val="22"/>
        </w:rPr>
        <w:t>Data</w:t>
      </w:r>
      <w:r>
        <w:rPr>
          <w:rFonts w:ascii="Times New Roman" w:eastAsia="Times New Roman"/>
          <w:spacing w:val="-2"/>
          <w:sz w:val="22"/>
        </w:rPr>
        <w:t> Management</w:t>
      </w:r>
    </w:p>
    <w:p>
      <w:pPr>
        <w:spacing w:line="398" w:lineRule="auto" w:before="186"/>
        <w:ind w:left="1320" w:right="1316" w:firstLine="439"/>
        <w:jc w:val="both"/>
        <w:rPr>
          <w:rFonts w:ascii="Times New Roman" w:hAnsi="Times New Roman" w:eastAsia="Times New Roman"/>
          <w:sz w:val="22"/>
        </w:rPr>
      </w:pPr>
      <w:r>
        <w:rPr>
          <w:spacing w:val="-2"/>
          <w:sz w:val="22"/>
        </w:rPr>
        <w:t>是规划、控制和提供数据及信息资产的一组业务职能，包括开发、执行和监督有关</w:t>
      </w:r>
      <w:r>
        <w:rPr>
          <w:spacing w:val="-2"/>
          <w:sz w:val="22"/>
        </w:rPr>
        <w:t>数据的计划、政策、方案、项目、流程、方法和程序，从而控制、保护、交付和提高数</w:t>
      </w:r>
      <w:r>
        <w:rPr>
          <w:sz w:val="22"/>
        </w:rPr>
        <w:t>据和信息资产的价值。</w:t>
      </w:r>
      <w:r>
        <w:rPr>
          <w:rFonts w:ascii="Times New Roman" w:hAnsi="Times New Roman" w:eastAsia="Times New Roman"/>
          <w:sz w:val="22"/>
        </w:rPr>
        <w:t>—— DMBOK 1.0</w:t>
      </w:r>
    </w:p>
    <w:p>
      <w:pPr>
        <w:pStyle w:val="ListParagraph"/>
        <w:numPr>
          <w:ilvl w:val="0"/>
          <w:numId w:val="15"/>
        </w:numPr>
        <w:tabs>
          <w:tab w:pos="2180" w:val="left" w:leader="none"/>
        </w:tabs>
        <w:spacing w:line="240" w:lineRule="auto" w:before="1" w:after="0"/>
        <w:ind w:left="2179" w:right="0" w:hanging="421"/>
        <w:jc w:val="left"/>
        <w:rPr>
          <w:rFonts w:ascii="Times New Roman" w:eastAsia="Times New Roman"/>
          <w:sz w:val="22"/>
        </w:rPr>
      </w:pPr>
      <w:r>
        <w:rPr>
          <w:spacing w:val="-1"/>
          <w:sz w:val="22"/>
        </w:rPr>
        <w:t>数据治理 </w:t>
      </w:r>
      <w:r>
        <w:rPr>
          <w:rFonts w:ascii="Times New Roman" w:eastAsia="Times New Roman"/>
          <w:sz w:val="22"/>
        </w:rPr>
        <w:t>Data</w:t>
      </w:r>
      <w:r>
        <w:rPr>
          <w:rFonts w:ascii="Times New Roman" w:eastAsia="Times New Roman"/>
          <w:spacing w:val="-1"/>
          <w:sz w:val="22"/>
        </w:rPr>
        <w:t> </w:t>
      </w:r>
      <w:r>
        <w:rPr>
          <w:rFonts w:ascii="Times New Roman" w:eastAsia="Times New Roman"/>
          <w:spacing w:val="-2"/>
          <w:sz w:val="22"/>
        </w:rPr>
        <w:t>Governance</w:t>
      </w:r>
    </w:p>
    <w:p>
      <w:pPr>
        <w:spacing w:before="186"/>
        <w:ind w:left="1759" w:right="0" w:firstLine="0"/>
        <w:jc w:val="left"/>
        <w:rPr>
          <w:sz w:val="22"/>
        </w:rPr>
      </w:pPr>
      <w:r>
        <w:rPr>
          <w:spacing w:val="-7"/>
          <w:sz w:val="22"/>
        </w:rPr>
        <w:t>作为数据管理的其中一个核心职能，是对数据资产管理行使权力和控制的活动集合</w:t>
      </w:r>
    </w:p>
    <w:p>
      <w:pPr>
        <w:spacing w:line="398" w:lineRule="auto" w:before="187"/>
        <w:ind w:left="1320" w:right="1317" w:firstLine="0"/>
        <w:jc w:val="left"/>
        <w:rPr>
          <w:rFonts w:ascii="Times New Roman" w:hAnsi="Times New Roman" w:eastAsia="Times New Roman"/>
          <w:sz w:val="22"/>
        </w:rPr>
      </w:pPr>
      <w:r>
        <w:rPr>
          <w:spacing w:val="-2"/>
          <w:sz w:val="22"/>
        </w:rPr>
        <w:t>（规划、监控和执行</w:t>
      </w:r>
      <w:r>
        <w:rPr>
          <w:spacing w:val="-108"/>
          <w:sz w:val="22"/>
        </w:rPr>
        <w:t>）</w:t>
      </w:r>
      <w:r>
        <w:rPr>
          <w:spacing w:val="-2"/>
          <w:sz w:val="22"/>
        </w:rPr>
        <w:t>，指导其他数据管理职能如何执行，在高层次上执行数据管理制</w:t>
      </w:r>
      <w:r>
        <w:rPr>
          <w:sz w:val="22"/>
        </w:rPr>
        <w:t>度。</w:t>
      </w:r>
      <w:r>
        <w:rPr>
          <w:rFonts w:ascii="Times New Roman" w:hAnsi="Times New Roman" w:eastAsia="Times New Roman"/>
          <w:sz w:val="22"/>
        </w:rPr>
        <w:t>—— DMBOK 1.0</w:t>
      </w:r>
    </w:p>
    <w:p>
      <w:pPr>
        <w:pStyle w:val="ListParagraph"/>
        <w:numPr>
          <w:ilvl w:val="0"/>
          <w:numId w:val="15"/>
        </w:numPr>
        <w:tabs>
          <w:tab w:pos="2180" w:val="left" w:leader="none"/>
        </w:tabs>
        <w:spacing w:line="240" w:lineRule="auto" w:before="0" w:after="0"/>
        <w:ind w:left="2179" w:right="0" w:hanging="421"/>
        <w:jc w:val="left"/>
        <w:rPr>
          <w:rFonts w:ascii="Times New Roman" w:eastAsia="Times New Roman"/>
          <w:sz w:val="22"/>
        </w:rPr>
      </w:pPr>
      <w:r>
        <w:rPr>
          <w:spacing w:val="-1"/>
          <w:sz w:val="22"/>
        </w:rPr>
        <w:t>数据资源 </w:t>
      </w:r>
      <w:r>
        <w:rPr>
          <w:rFonts w:ascii="Times New Roman" w:eastAsia="Times New Roman"/>
          <w:sz w:val="22"/>
        </w:rPr>
        <w:t>Data</w:t>
      </w:r>
      <w:r>
        <w:rPr>
          <w:rFonts w:ascii="Times New Roman" w:eastAsia="Times New Roman"/>
          <w:spacing w:val="-1"/>
          <w:sz w:val="22"/>
        </w:rPr>
        <w:t> </w:t>
      </w:r>
      <w:r>
        <w:rPr>
          <w:rFonts w:ascii="Times New Roman" w:eastAsia="Times New Roman"/>
          <w:spacing w:val="-2"/>
          <w:sz w:val="22"/>
        </w:rPr>
        <w:t>Resource</w:t>
      </w:r>
    </w:p>
    <w:p>
      <w:pPr>
        <w:spacing w:line="398" w:lineRule="auto" w:before="186"/>
        <w:ind w:left="1320" w:right="1316" w:firstLine="439"/>
        <w:jc w:val="left"/>
        <w:rPr>
          <w:rFonts w:ascii="Times New Roman" w:hAnsi="Times New Roman" w:eastAsia="Times New Roman"/>
          <w:sz w:val="22"/>
        </w:rPr>
      </w:pPr>
      <w:r>
        <w:rPr>
          <w:spacing w:val="-5"/>
          <w:sz w:val="22"/>
        </w:rPr>
        <w:t>广义上是指对一个企业而言所有可能产生价值的数据，包括自动化数据与非自动化</w:t>
      </w:r>
      <w:r>
        <w:rPr>
          <w:spacing w:val="-2"/>
          <w:sz w:val="22"/>
        </w:rPr>
        <w:t>数据。</w:t>
      </w:r>
      <w:r>
        <w:rPr>
          <w:rFonts w:ascii="Times New Roman" w:hAnsi="Times New Roman" w:eastAsia="Times New Roman"/>
          <w:spacing w:val="-2"/>
          <w:sz w:val="22"/>
        </w:rPr>
        <w:t>——wikipedia</w:t>
      </w:r>
    </w:p>
    <w:p>
      <w:pPr>
        <w:pStyle w:val="ListParagraph"/>
        <w:numPr>
          <w:ilvl w:val="0"/>
          <w:numId w:val="15"/>
        </w:numPr>
        <w:tabs>
          <w:tab w:pos="2180" w:val="left" w:leader="none"/>
        </w:tabs>
        <w:spacing w:line="240" w:lineRule="auto" w:before="0" w:after="0"/>
        <w:ind w:left="2179" w:right="0" w:hanging="421"/>
        <w:jc w:val="left"/>
        <w:rPr>
          <w:rFonts w:ascii="Times New Roman" w:eastAsia="Times New Roman"/>
          <w:sz w:val="22"/>
        </w:rPr>
      </w:pPr>
      <w:r>
        <w:rPr>
          <w:spacing w:val="-1"/>
          <w:sz w:val="22"/>
        </w:rPr>
        <w:t>数据资产 </w:t>
      </w:r>
      <w:r>
        <w:rPr>
          <w:rFonts w:ascii="Times New Roman" w:eastAsia="Times New Roman"/>
          <w:sz w:val="22"/>
        </w:rPr>
        <w:t>Data</w:t>
      </w:r>
      <w:r>
        <w:rPr>
          <w:rFonts w:ascii="Times New Roman" w:eastAsia="Times New Roman"/>
          <w:spacing w:val="-14"/>
          <w:sz w:val="22"/>
        </w:rPr>
        <w:t> </w:t>
      </w:r>
      <w:r>
        <w:rPr>
          <w:rFonts w:ascii="Times New Roman" w:eastAsia="Times New Roman"/>
          <w:spacing w:val="-4"/>
          <w:sz w:val="22"/>
        </w:rPr>
        <w:t>Asset</w:t>
      </w:r>
    </w:p>
    <w:p>
      <w:pPr>
        <w:spacing w:line="398" w:lineRule="auto" w:before="187"/>
        <w:ind w:left="1320" w:right="1315" w:firstLine="439"/>
        <w:jc w:val="both"/>
        <w:rPr>
          <w:rFonts w:ascii="Times New Roman" w:hAnsi="Times New Roman" w:eastAsia="Times New Roman"/>
          <w:sz w:val="22"/>
        </w:rPr>
      </w:pPr>
      <w:r>
        <w:rPr>
          <w:spacing w:val="-2"/>
          <w:sz w:val="22"/>
        </w:rPr>
        <w:t>是指由企业拥有或者控制的，能够为企业带来未来经济利益的，以物理或电子的方</w:t>
      </w:r>
      <w:r>
        <w:rPr>
          <w:spacing w:val="-2"/>
          <w:sz w:val="22"/>
        </w:rPr>
        <w:t>式记录的数据资源，如文件资料、电子数据等。在企业中，并非所有的数据都构成数据</w:t>
      </w:r>
      <w:r>
        <w:rPr>
          <w:sz w:val="22"/>
        </w:rPr>
        <w:t>资产，数据资产是能够为企业产生价值的数据资源。</w:t>
      </w:r>
      <w:r>
        <w:rPr>
          <w:rFonts w:ascii="Times New Roman" w:hAnsi="Times New Roman" w:eastAsia="Times New Roman"/>
          <w:sz w:val="22"/>
        </w:rPr>
        <w:t>—— DMBOK 1.0</w:t>
      </w:r>
    </w:p>
    <w:p>
      <w:pPr>
        <w:pStyle w:val="ListParagraph"/>
        <w:numPr>
          <w:ilvl w:val="0"/>
          <w:numId w:val="15"/>
        </w:numPr>
        <w:tabs>
          <w:tab w:pos="2180" w:val="left" w:leader="none"/>
        </w:tabs>
        <w:spacing w:line="240" w:lineRule="auto" w:before="0" w:after="0"/>
        <w:ind w:left="2179" w:right="0" w:hanging="421"/>
        <w:jc w:val="left"/>
        <w:rPr>
          <w:rFonts w:ascii="Times New Roman" w:eastAsia="Times New Roman"/>
          <w:sz w:val="22"/>
        </w:rPr>
      </w:pPr>
      <w:r>
        <w:rPr>
          <w:spacing w:val="-1"/>
          <w:sz w:val="22"/>
        </w:rPr>
        <w:t>参考数据 </w:t>
      </w:r>
      <w:r>
        <w:rPr>
          <w:rFonts w:ascii="Times New Roman" w:eastAsia="Times New Roman"/>
          <w:spacing w:val="-2"/>
          <w:sz w:val="22"/>
        </w:rPr>
        <w:t>Reference</w:t>
      </w:r>
    </w:p>
    <w:p>
      <w:pPr>
        <w:spacing w:line="398" w:lineRule="auto" w:before="186"/>
        <w:ind w:left="1320" w:right="1317" w:firstLine="439"/>
        <w:jc w:val="both"/>
        <w:rPr>
          <w:rFonts w:ascii="Times New Roman" w:hAnsi="Times New Roman" w:eastAsia="Times New Roman"/>
          <w:sz w:val="22"/>
        </w:rPr>
      </w:pPr>
      <w:r>
        <w:rPr>
          <w:spacing w:val="-5"/>
          <w:sz w:val="22"/>
        </w:rPr>
        <w:t>参考数据是用于将其他数据进行分类或目录整编的数据，通常来说参考数据值是几</w:t>
      </w:r>
      <w:r>
        <w:rPr>
          <w:spacing w:val="-2"/>
          <w:sz w:val="22"/>
        </w:rPr>
        <w:t>个允许值之一（允许值的数据集是一个值域</w:t>
      </w:r>
      <w:r>
        <w:rPr>
          <w:spacing w:val="-111"/>
          <w:sz w:val="22"/>
        </w:rPr>
        <w:t>）</w:t>
      </w:r>
      <w:r>
        <w:rPr>
          <w:spacing w:val="-2"/>
          <w:sz w:val="22"/>
        </w:rPr>
        <w:t>。在所有的组织中，参考数据几乎都虚拟</w:t>
      </w:r>
      <w:r>
        <w:rPr>
          <w:sz w:val="22"/>
        </w:rPr>
        <w:t>存在于整个组织的每一个数据库中。</w:t>
      </w:r>
      <w:r>
        <w:rPr>
          <w:rFonts w:ascii="Times New Roman" w:hAnsi="Times New Roman" w:eastAsia="Times New Roman"/>
          <w:sz w:val="22"/>
        </w:rPr>
        <w:t>—— DMBOK 1.0</w:t>
      </w:r>
    </w:p>
    <w:p>
      <w:pPr>
        <w:pStyle w:val="ListParagraph"/>
        <w:numPr>
          <w:ilvl w:val="0"/>
          <w:numId w:val="15"/>
        </w:numPr>
        <w:tabs>
          <w:tab w:pos="2180" w:val="left" w:leader="none"/>
        </w:tabs>
        <w:spacing w:line="240" w:lineRule="auto" w:before="0" w:after="0"/>
        <w:ind w:left="2179" w:right="0" w:hanging="421"/>
        <w:jc w:val="left"/>
        <w:rPr>
          <w:rFonts w:ascii="Times New Roman" w:eastAsia="Times New Roman"/>
          <w:sz w:val="22"/>
        </w:rPr>
      </w:pPr>
      <w:r>
        <w:rPr>
          <w:spacing w:val="-1"/>
          <w:sz w:val="22"/>
        </w:rPr>
        <w:t>数据字典 </w:t>
      </w:r>
      <w:r>
        <w:rPr>
          <w:rFonts w:ascii="Times New Roman" w:eastAsia="Times New Roman"/>
          <w:sz w:val="22"/>
        </w:rPr>
        <w:t>Data</w:t>
      </w:r>
      <w:r>
        <w:rPr>
          <w:rFonts w:ascii="Times New Roman" w:eastAsia="Times New Roman"/>
          <w:spacing w:val="-1"/>
          <w:sz w:val="22"/>
        </w:rPr>
        <w:t> </w:t>
      </w:r>
      <w:r>
        <w:rPr>
          <w:rFonts w:ascii="Times New Roman" w:eastAsia="Times New Roman"/>
          <w:spacing w:val="-2"/>
          <w:sz w:val="22"/>
        </w:rPr>
        <w:t>Dictionary</w:t>
      </w:r>
    </w:p>
    <w:p>
      <w:pPr>
        <w:spacing w:line="398" w:lineRule="auto" w:before="187"/>
        <w:ind w:left="1320" w:right="1316" w:firstLine="439"/>
        <w:jc w:val="both"/>
        <w:rPr>
          <w:rFonts w:ascii="Times New Roman" w:hAnsi="Times New Roman" w:eastAsia="Times New Roman"/>
          <w:sz w:val="22"/>
        </w:rPr>
      </w:pPr>
      <w:r>
        <w:rPr>
          <w:spacing w:val="-6"/>
          <w:sz w:val="22"/>
        </w:rPr>
        <w:t>是一种用户可以访问的记录数据库和应用程序源数据的目录，用规范化的</w:t>
      </w:r>
      <w:r>
        <w:rPr>
          <w:rFonts w:ascii="Times New Roman" w:hAnsi="Times New Roman" w:eastAsia="Times New Roman"/>
          <w:spacing w:val="-2"/>
          <w:sz w:val="22"/>
        </w:rPr>
        <w:t>,</w:t>
      </w:r>
      <w:r>
        <w:rPr>
          <w:spacing w:val="-2"/>
          <w:sz w:val="22"/>
        </w:rPr>
        <w:t>无二义性</w:t>
      </w:r>
      <w:r>
        <w:rPr>
          <w:spacing w:val="-2"/>
          <w:sz w:val="22"/>
        </w:rPr>
        <w:t>的语言表达数据流程图的各组成部分</w:t>
      </w:r>
      <w:r>
        <w:rPr>
          <w:rFonts w:ascii="Times New Roman" w:hAnsi="Times New Roman" w:eastAsia="Times New Roman"/>
          <w:spacing w:val="-2"/>
          <w:sz w:val="22"/>
        </w:rPr>
        <w:t>,</w:t>
      </w:r>
      <w:r>
        <w:rPr>
          <w:spacing w:val="-2"/>
          <w:sz w:val="22"/>
        </w:rPr>
        <w:t>是对数据流程图各个组成部分的详细数据说明</w:t>
      </w:r>
      <w:r>
        <w:rPr>
          <w:rFonts w:ascii="Times New Roman" w:hAnsi="Times New Roman" w:eastAsia="Times New Roman"/>
          <w:spacing w:val="-2"/>
          <w:sz w:val="22"/>
        </w:rPr>
        <w:t>,</w:t>
      </w:r>
      <w:r>
        <w:rPr>
          <w:spacing w:val="-2"/>
          <w:sz w:val="22"/>
        </w:rPr>
        <w:t>也</w:t>
      </w:r>
      <w:r>
        <w:rPr>
          <w:sz w:val="22"/>
        </w:rPr>
        <w:t>是表达新系统逻辑模型的主要工具之一。包括主动数据字典（</w:t>
      </w:r>
      <w:r>
        <w:rPr>
          <w:rFonts w:ascii="Times New Roman" w:hAnsi="Times New Roman" w:eastAsia="Times New Roman"/>
          <w:sz w:val="22"/>
        </w:rPr>
        <w:t>active data</w:t>
      </w:r>
      <w:r>
        <w:rPr>
          <w:rFonts w:ascii="Times New Roman" w:hAnsi="Times New Roman" w:eastAsia="Times New Roman"/>
          <w:spacing w:val="-2"/>
          <w:sz w:val="22"/>
        </w:rPr>
        <w:t> </w:t>
      </w:r>
      <w:r>
        <w:rPr>
          <w:rFonts w:ascii="Times New Roman" w:hAnsi="Times New Roman" w:eastAsia="Times New Roman"/>
          <w:sz w:val="22"/>
        </w:rPr>
        <w:t>dictionary</w:t>
      </w:r>
      <w:r>
        <w:rPr>
          <w:sz w:val="22"/>
        </w:rPr>
        <w:t>）和被动数据字典</w:t>
      </w:r>
      <w:r>
        <w:rPr>
          <w:rFonts w:ascii="Times New Roman" w:hAnsi="Times New Roman" w:eastAsia="Times New Roman"/>
          <w:sz w:val="22"/>
        </w:rPr>
        <w:t>(passive</w:t>
      </w:r>
      <w:r>
        <w:rPr>
          <w:rFonts w:ascii="Times New Roman" w:hAnsi="Times New Roman" w:eastAsia="Times New Roman"/>
          <w:spacing w:val="-14"/>
          <w:sz w:val="22"/>
        </w:rPr>
        <w:t> </w:t>
      </w:r>
      <w:r>
        <w:rPr>
          <w:rFonts w:ascii="Times New Roman" w:hAnsi="Times New Roman" w:eastAsia="Times New Roman"/>
          <w:sz w:val="22"/>
        </w:rPr>
        <w:t>data</w:t>
      </w:r>
      <w:r>
        <w:rPr>
          <w:rFonts w:ascii="Times New Roman" w:hAnsi="Times New Roman" w:eastAsia="Times New Roman"/>
          <w:spacing w:val="-14"/>
          <w:sz w:val="22"/>
        </w:rPr>
        <w:t> </w:t>
      </w:r>
      <w:r>
        <w:rPr>
          <w:rFonts w:ascii="Times New Roman" w:hAnsi="Times New Roman" w:eastAsia="Times New Roman"/>
          <w:sz w:val="22"/>
        </w:rPr>
        <w:t>dictionary)</w:t>
      </w:r>
      <w:r>
        <w:rPr>
          <w:sz w:val="22"/>
        </w:rPr>
        <w:t>，前者是指指在对数据库或应用程序结构进行修改</w:t>
      </w:r>
      <w:r>
        <w:rPr>
          <w:spacing w:val="-3"/>
          <w:sz w:val="22"/>
        </w:rPr>
        <w:t>时，其内容可以由 </w:t>
      </w:r>
      <w:r>
        <w:rPr>
          <w:rFonts w:ascii="Times New Roman" w:hAnsi="Times New Roman" w:eastAsia="Times New Roman"/>
          <w:sz w:val="22"/>
        </w:rPr>
        <w:t>DBMS</w:t>
      </w:r>
      <w:r>
        <w:rPr>
          <w:rFonts w:ascii="Times New Roman" w:hAnsi="Times New Roman" w:eastAsia="Times New Roman"/>
          <w:spacing w:val="30"/>
          <w:sz w:val="22"/>
        </w:rPr>
        <w:t> </w:t>
      </w:r>
      <w:r>
        <w:rPr>
          <w:sz w:val="22"/>
        </w:rPr>
        <w:t>自动更新的数据字典，后者是指修改时必须手工更新其内容的数据字典。</w:t>
      </w:r>
      <w:r>
        <w:rPr>
          <w:rFonts w:ascii="Times New Roman" w:hAnsi="Times New Roman" w:eastAsia="Times New Roman"/>
          <w:sz w:val="22"/>
        </w:rPr>
        <w:t>—— DMBOK 1.0</w:t>
      </w:r>
    </w:p>
    <w:p>
      <w:pPr>
        <w:spacing w:before="168"/>
        <w:ind w:left="1329" w:right="1325" w:firstLine="0"/>
        <w:jc w:val="center"/>
        <w:rPr>
          <w:rFonts w:ascii="Times New Roman"/>
          <w:sz w:val="18"/>
        </w:rPr>
      </w:pPr>
      <w:r>
        <w:rPr>
          <w:rFonts w:ascii="Times New Roman"/>
          <w:spacing w:val="-5"/>
          <w:sz w:val="18"/>
        </w:rPr>
        <w:t>48</w:t>
      </w:r>
    </w:p>
    <w:p>
      <w:pPr>
        <w:spacing w:after="0"/>
        <w:jc w:val="center"/>
        <w:rPr>
          <w:rFonts w:ascii="Times New Roman"/>
          <w:sz w:val="18"/>
        </w:rPr>
        <w:sectPr>
          <w:headerReference w:type="default" r:id="rId65"/>
          <w:pgSz w:w="11910" w:h="16840"/>
          <w:pgMar w:header="877" w:footer="0" w:top="1100" w:bottom="280" w:left="480" w:right="480"/>
        </w:sectPr>
      </w:pPr>
    </w:p>
    <w:p>
      <w:pPr>
        <w:pStyle w:val="BodyText"/>
        <w:spacing w:before="3"/>
        <w:rPr>
          <w:rFonts w:ascii="Times New Roman"/>
          <w:sz w:val="29"/>
        </w:rPr>
      </w:pPr>
    </w:p>
    <w:p>
      <w:pPr>
        <w:pStyle w:val="ListParagraph"/>
        <w:numPr>
          <w:ilvl w:val="0"/>
          <w:numId w:val="15"/>
        </w:numPr>
        <w:tabs>
          <w:tab w:pos="2180" w:val="left" w:leader="none"/>
        </w:tabs>
        <w:spacing w:line="240" w:lineRule="auto" w:before="77" w:after="0"/>
        <w:ind w:left="2179" w:right="0" w:hanging="421"/>
        <w:jc w:val="left"/>
        <w:rPr>
          <w:rFonts w:ascii="Times New Roman" w:eastAsia="Times New Roman"/>
          <w:sz w:val="22"/>
        </w:rPr>
      </w:pPr>
      <w:r>
        <w:rPr>
          <w:spacing w:val="-1"/>
          <w:sz w:val="22"/>
        </w:rPr>
        <w:t>数据目录 </w:t>
      </w:r>
      <w:r>
        <w:rPr>
          <w:rFonts w:ascii="Times New Roman" w:eastAsia="Times New Roman"/>
          <w:sz w:val="22"/>
        </w:rPr>
        <w:t>Data</w:t>
      </w:r>
      <w:r>
        <w:rPr>
          <w:rFonts w:ascii="Times New Roman" w:eastAsia="Times New Roman"/>
          <w:spacing w:val="-1"/>
          <w:sz w:val="22"/>
        </w:rPr>
        <w:t> </w:t>
      </w:r>
      <w:r>
        <w:rPr>
          <w:rFonts w:ascii="Times New Roman" w:eastAsia="Times New Roman"/>
          <w:spacing w:val="-2"/>
          <w:sz w:val="22"/>
        </w:rPr>
        <w:t>Catalog</w:t>
      </w:r>
    </w:p>
    <w:p>
      <w:pPr>
        <w:spacing w:line="398" w:lineRule="auto" w:before="186"/>
        <w:ind w:left="1320" w:right="1209" w:firstLine="439"/>
        <w:jc w:val="left"/>
        <w:rPr>
          <w:rFonts w:ascii="Times New Roman" w:hAnsi="Times New Roman" w:eastAsia="Times New Roman"/>
          <w:sz w:val="22"/>
        </w:rPr>
      </w:pPr>
      <w:r>
        <w:rPr>
          <w:spacing w:val="-8"/>
          <w:sz w:val="22"/>
        </w:rPr>
        <w:t>作为一种主动数据字典，用以帮助用户找到满足自身需求的数据来源并且帮助他们</w:t>
      </w:r>
      <w:r>
        <w:rPr>
          <w:spacing w:val="-2"/>
          <w:sz w:val="22"/>
        </w:rPr>
        <w:t>理解利用数据源进行挖掘的过程，同时也帮助企业在现有的数据源下实现更多的收益。</w:t>
      </w:r>
      <w:r>
        <w:rPr>
          <w:spacing w:val="-4"/>
          <w:sz w:val="22"/>
        </w:rPr>
        <w:t>多数关系型 </w:t>
      </w:r>
      <w:r>
        <w:rPr>
          <w:rFonts w:ascii="Times New Roman" w:hAnsi="Times New Roman" w:eastAsia="Times New Roman"/>
          <w:sz w:val="22"/>
        </w:rPr>
        <w:t>DBMS </w:t>
      </w:r>
      <w:r>
        <w:rPr>
          <w:sz w:val="22"/>
        </w:rPr>
        <w:t>产品将数据目录设置为关系型表格的形式。</w:t>
      </w:r>
      <w:r>
        <w:rPr>
          <w:rFonts w:ascii="Times New Roman" w:hAnsi="Times New Roman" w:eastAsia="Times New Roman"/>
          <w:sz w:val="22"/>
        </w:rPr>
        <w:t>——wikipedia</w:t>
      </w:r>
    </w:p>
    <w:p>
      <w:pPr>
        <w:pStyle w:val="ListParagraph"/>
        <w:numPr>
          <w:ilvl w:val="0"/>
          <w:numId w:val="15"/>
        </w:numPr>
        <w:tabs>
          <w:tab w:pos="2180" w:val="left" w:leader="none"/>
          <w:tab w:pos="3420" w:val="left" w:leader="none"/>
        </w:tabs>
        <w:spacing w:line="240" w:lineRule="auto" w:before="1" w:after="0"/>
        <w:ind w:left="2179" w:right="0" w:hanging="421"/>
        <w:jc w:val="left"/>
        <w:rPr>
          <w:rFonts w:ascii="Times New Roman" w:eastAsia="Times New Roman"/>
          <w:sz w:val="22"/>
        </w:rPr>
      </w:pPr>
      <w:r>
        <w:rPr>
          <w:sz w:val="22"/>
        </w:rPr>
        <w:t>数据血</w:t>
      </w:r>
      <w:r>
        <w:rPr>
          <w:spacing w:val="-10"/>
          <w:sz w:val="22"/>
        </w:rPr>
        <w:t>缘</w:t>
      </w:r>
      <w:r>
        <w:rPr>
          <w:sz w:val="22"/>
        </w:rPr>
        <w:tab/>
      </w:r>
      <w:r>
        <w:rPr>
          <w:rFonts w:ascii="Times New Roman" w:eastAsia="Times New Roman"/>
          <w:sz w:val="22"/>
        </w:rPr>
        <w:t>Data</w:t>
      </w:r>
      <w:r>
        <w:rPr>
          <w:rFonts w:ascii="Times New Roman" w:eastAsia="Times New Roman"/>
          <w:spacing w:val="-1"/>
          <w:sz w:val="22"/>
        </w:rPr>
        <w:t> </w:t>
      </w:r>
      <w:r>
        <w:rPr>
          <w:rFonts w:ascii="Times New Roman" w:eastAsia="Times New Roman"/>
          <w:spacing w:val="-2"/>
          <w:sz w:val="22"/>
        </w:rPr>
        <w:t>Lineage</w:t>
      </w:r>
    </w:p>
    <w:p>
      <w:pPr>
        <w:spacing w:line="398" w:lineRule="auto" w:before="186"/>
        <w:ind w:left="1320" w:right="1313" w:firstLine="439"/>
        <w:jc w:val="left"/>
        <w:rPr>
          <w:rFonts w:ascii="Times New Roman" w:hAnsi="Times New Roman" w:eastAsia="Times New Roman"/>
          <w:sz w:val="22"/>
        </w:rPr>
      </w:pPr>
      <w:r>
        <w:rPr>
          <w:spacing w:val="-2"/>
          <w:sz w:val="22"/>
        </w:rPr>
        <w:t>通常是数据生命周期的一种，包括数据的起源以及到当前位置的完整路径描述，帮</w:t>
      </w:r>
      <w:r>
        <w:rPr>
          <w:spacing w:val="17"/>
          <w:sz w:val="22"/>
        </w:rPr>
        <w:t>助用户分析信息的使用过程并且追溯在每一个节点上有特定用途的信息。 </w:t>
      </w:r>
      <w:r>
        <w:rPr>
          <w:rFonts w:ascii="Times New Roman" w:hAnsi="Times New Roman" w:eastAsia="Times New Roman"/>
          <w:spacing w:val="-5"/>
          <w:sz w:val="22"/>
        </w:rPr>
        <w:t>——</w:t>
      </w:r>
    </w:p>
    <w:p>
      <w:pPr>
        <w:spacing w:before="12"/>
        <w:ind w:left="1320" w:right="0" w:firstLine="0"/>
        <w:jc w:val="left"/>
        <w:rPr>
          <w:rFonts w:ascii="Times New Roman"/>
          <w:sz w:val="22"/>
        </w:rPr>
      </w:pPr>
      <w:r>
        <w:rPr>
          <w:rFonts w:ascii="Times New Roman"/>
          <w:sz w:val="22"/>
        </w:rPr>
        <w:t>DMBOK</w:t>
      </w:r>
      <w:r>
        <w:rPr>
          <w:rFonts w:ascii="Times New Roman"/>
          <w:spacing w:val="-5"/>
          <w:sz w:val="22"/>
        </w:rPr>
        <w:t> 1.0</w:t>
      </w:r>
    </w:p>
    <w:p>
      <w:pPr>
        <w:pStyle w:val="ListParagraph"/>
        <w:numPr>
          <w:ilvl w:val="0"/>
          <w:numId w:val="15"/>
        </w:numPr>
        <w:tabs>
          <w:tab w:pos="2180" w:val="left" w:leader="none"/>
          <w:tab w:pos="3420" w:val="left" w:leader="none"/>
        </w:tabs>
        <w:spacing w:line="240" w:lineRule="auto" w:before="204" w:after="0"/>
        <w:ind w:left="2179" w:right="0" w:hanging="421"/>
        <w:jc w:val="left"/>
        <w:rPr>
          <w:rFonts w:ascii="Times New Roman" w:eastAsia="Times New Roman"/>
          <w:sz w:val="22"/>
        </w:rPr>
      </w:pPr>
      <w:r>
        <w:rPr>
          <w:sz w:val="22"/>
        </w:rPr>
        <w:t>血缘分</w:t>
      </w:r>
      <w:r>
        <w:rPr>
          <w:spacing w:val="-10"/>
          <w:sz w:val="22"/>
        </w:rPr>
        <w:t>析</w:t>
      </w:r>
      <w:r>
        <w:rPr>
          <w:sz w:val="22"/>
        </w:rPr>
        <w:tab/>
      </w:r>
      <w:r>
        <w:rPr>
          <w:rFonts w:ascii="Times New Roman" w:eastAsia="Times New Roman"/>
          <w:spacing w:val="-2"/>
          <w:sz w:val="22"/>
        </w:rPr>
        <w:t>Lineage</w:t>
      </w:r>
      <w:r>
        <w:rPr>
          <w:rFonts w:ascii="Times New Roman" w:eastAsia="Times New Roman"/>
          <w:sz w:val="22"/>
        </w:rPr>
        <w:t> </w:t>
      </w:r>
      <w:r>
        <w:rPr>
          <w:rFonts w:ascii="Times New Roman" w:eastAsia="Times New Roman"/>
          <w:spacing w:val="-2"/>
          <w:sz w:val="22"/>
        </w:rPr>
        <w:t>Analysis</w:t>
      </w:r>
    </w:p>
    <w:p>
      <w:pPr>
        <w:spacing w:line="398" w:lineRule="auto" w:before="186"/>
        <w:ind w:left="1320" w:right="1317" w:firstLine="439"/>
        <w:jc w:val="both"/>
        <w:rPr>
          <w:rFonts w:ascii="Times New Roman" w:hAnsi="Times New Roman" w:eastAsia="Times New Roman"/>
          <w:sz w:val="22"/>
        </w:rPr>
      </w:pPr>
      <w:r>
        <w:rPr>
          <w:spacing w:val="-2"/>
          <w:sz w:val="22"/>
        </w:rPr>
        <w:t>也即血统分析，是通过对数据处理过程的全面追踪，从而找到以某个数据对象为起</w:t>
      </w:r>
      <w:r>
        <w:rPr>
          <w:spacing w:val="-5"/>
          <w:sz w:val="22"/>
        </w:rPr>
        <w:t>点的所有相关元数据对象以及这些元数据对象之间的关系。它是对数据对象内在关系的</w:t>
      </w:r>
      <w:r>
        <w:rPr>
          <w:spacing w:val="-2"/>
          <w:sz w:val="22"/>
        </w:rPr>
        <w:t>一种映射，同时，还结合了时间顺序、递次关系，也能够反映出一定的相关性和因果关系。</w:t>
      </w:r>
      <w:r>
        <w:rPr>
          <w:rFonts w:ascii="Times New Roman" w:hAnsi="Times New Roman" w:eastAsia="Times New Roman"/>
          <w:spacing w:val="-2"/>
          <w:sz w:val="22"/>
        </w:rPr>
        <w:t>——wikipedia</w:t>
      </w:r>
    </w:p>
    <w:p>
      <w:pPr>
        <w:pStyle w:val="ListParagraph"/>
        <w:numPr>
          <w:ilvl w:val="0"/>
          <w:numId w:val="15"/>
        </w:numPr>
        <w:tabs>
          <w:tab w:pos="2290" w:val="left" w:leader="none"/>
        </w:tabs>
        <w:spacing w:line="240" w:lineRule="auto" w:before="0" w:after="0"/>
        <w:ind w:left="2290" w:right="0" w:hanging="531"/>
        <w:jc w:val="left"/>
        <w:rPr>
          <w:rFonts w:ascii="Times New Roman" w:eastAsia="Times New Roman"/>
          <w:sz w:val="22"/>
        </w:rPr>
      </w:pPr>
      <w:r>
        <w:rPr>
          <w:sz w:val="22"/>
        </w:rPr>
        <w:t>影响分析</w:t>
      </w:r>
      <w:r>
        <w:rPr>
          <w:spacing w:val="78"/>
          <w:w w:val="150"/>
          <w:sz w:val="22"/>
        </w:rPr>
        <w:t> </w:t>
      </w:r>
      <w:r>
        <w:rPr>
          <w:rFonts w:ascii="Times New Roman" w:eastAsia="Times New Roman"/>
          <w:sz w:val="22"/>
        </w:rPr>
        <w:t>Influence</w:t>
      </w:r>
      <w:r>
        <w:rPr>
          <w:rFonts w:ascii="Times New Roman" w:eastAsia="Times New Roman"/>
          <w:spacing w:val="-12"/>
          <w:sz w:val="22"/>
        </w:rPr>
        <w:t> </w:t>
      </w:r>
      <w:r>
        <w:rPr>
          <w:rFonts w:ascii="Times New Roman" w:eastAsia="Times New Roman"/>
          <w:spacing w:val="-2"/>
          <w:sz w:val="22"/>
        </w:rPr>
        <w:t>Analysis</w:t>
      </w:r>
    </w:p>
    <w:p>
      <w:pPr>
        <w:spacing w:line="398" w:lineRule="auto" w:before="186"/>
        <w:ind w:left="1320" w:right="1314" w:firstLine="439"/>
        <w:jc w:val="both"/>
        <w:rPr>
          <w:rFonts w:ascii="Times New Roman" w:hAnsi="Times New Roman" w:eastAsia="Times New Roman"/>
          <w:sz w:val="22"/>
        </w:rPr>
      </w:pPr>
      <w:r>
        <w:rPr>
          <w:spacing w:val="-2"/>
          <w:sz w:val="22"/>
        </w:rPr>
        <w:t>不同于血缘分析（血统分析）通过回溯方式找到所有元数据对象以及这些元数据对</w:t>
      </w:r>
      <w:r>
        <w:rPr>
          <w:spacing w:val="-2"/>
          <w:sz w:val="22"/>
        </w:rPr>
        <w:t>象之间的关系，影响分析是基于某个数据对象，寻找依赖于该对象的处理过程或其他数</w:t>
      </w:r>
      <w:r>
        <w:rPr>
          <w:spacing w:val="-4"/>
          <w:sz w:val="22"/>
        </w:rPr>
        <w:t>据对象，并在某些数据对象发生变化或者需要修改时，评估其影响范围。</w:t>
      </w:r>
      <w:r>
        <w:rPr>
          <w:rFonts w:ascii="Times New Roman" w:hAnsi="Times New Roman" w:eastAsia="Times New Roman"/>
          <w:spacing w:val="-4"/>
          <w:sz w:val="22"/>
        </w:rPr>
        <w:t>——wikipedia</w:t>
      </w:r>
    </w:p>
    <w:p>
      <w:pPr>
        <w:pStyle w:val="ListParagraph"/>
        <w:numPr>
          <w:ilvl w:val="0"/>
          <w:numId w:val="15"/>
        </w:numPr>
        <w:tabs>
          <w:tab w:pos="2230" w:val="left" w:leader="none"/>
          <w:tab w:pos="3840" w:val="left" w:leader="none"/>
        </w:tabs>
        <w:spacing w:line="240" w:lineRule="auto" w:before="1" w:after="0"/>
        <w:ind w:left="2230" w:right="0" w:hanging="471"/>
        <w:jc w:val="left"/>
        <w:rPr>
          <w:rFonts w:ascii="Times New Roman" w:eastAsia="Times New Roman"/>
          <w:sz w:val="22"/>
        </w:rPr>
      </w:pPr>
      <w:r>
        <w:rPr>
          <w:spacing w:val="-2"/>
          <w:sz w:val="22"/>
        </w:rPr>
        <w:t>非结</w:t>
      </w:r>
      <w:r>
        <w:rPr>
          <w:spacing w:val="-2"/>
          <w:sz w:val="22"/>
        </w:rPr>
        <w:t>构</w:t>
      </w:r>
      <w:r>
        <w:rPr>
          <w:spacing w:val="-2"/>
          <w:sz w:val="22"/>
        </w:rPr>
        <w:t>化</w:t>
      </w:r>
      <w:r>
        <w:rPr>
          <w:spacing w:val="-2"/>
          <w:sz w:val="22"/>
        </w:rPr>
        <w:t>数</w:t>
      </w:r>
      <w:r>
        <w:rPr>
          <w:spacing w:val="-10"/>
          <w:sz w:val="22"/>
        </w:rPr>
        <w:t>据</w:t>
      </w:r>
      <w:r>
        <w:rPr>
          <w:sz w:val="22"/>
        </w:rPr>
        <w:tab/>
      </w:r>
      <w:r>
        <w:rPr>
          <w:rFonts w:ascii="Times New Roman" w:eastAsia="Times New Roman"/>
          <w:sz w:val="22"/>
        </w:rPr>
        <w:t>Unstructured</w:t>
      </w:r>
      <w:r>
        <w:rPr>
          <w:rFonts w:ascii="Times New Roman" w:eastAsia="Times New Roman"/>
          <w:spacing w:val="-6"/>
          <w:sz w:val="22"/>
        </w:rPr>
        <w:t> </w:t>
      </w:r>
      <w:r>
        <w:rPr>
          <w:rFonts w:ascii="Times New Roman" w:eastAsia="Times New Roman"/>
          <w:spacing w:val="-4"/>
          <w:sz w:val="22"/>
        </w:rPr>
        <w:t>Data</w:t>
      </w:r>
    </w:p>
    <w:p>
      <w:pPr>
        <w:spacing w:line="398" w:lineRule="auto" w:before="186"/>
        <w:ind w:left="1320" w:right="1317" w:firstLine="439"/>
        <w:jc w:val="both"/>
        <w:rPr>
          <w:rFonts w:ascii="Times New Roman" w:hAnsi="Times New Roman" w:eastAsia="Times New Roman"/>
          <w:sz w:val="22"/>
        </w:rPr>
      </w:pPr>
      <w:r>
        <w:rPr>
          <w:spacing w:val="-5"/>
          <w:sz w:val="22"/>
        </w:rPr>
        <w:t>用来描述具有高度可变数据类型和格式的任何数据</w:t>
      </w:r>
      <w:r>
        <w:rPr>
          <w:spacing w:val="-2"/>
          <w:sz w:val="22"/>
        </w:rPr>
        <w:t>（尚未标记或记录于行和列的数</w:t>
      </w:r>
      <w:r>
        <w:rPr>
          <w:spacing w:val="-2"/>
          <w:sz w:val="22"/>
        </w:rPr>
        <w:t>据</w:t>
      </w:r>
      <w:r>
        <w:rPr>
          <w:spacing w:val="-111"/>
          <w:sz w:val="22"/>
        </w:rPr>
        <w:t>）</w:t>
      </w:r>
      <w:r>
        <w:rPr>
          <w:spacing w:val="-2"/>
          <w:sz w:val="22"/>
        </w:rPr>
        <w:t>，如文件、图形、图像、文字、报表、表格、视频或录音，具有数据格式多样、数</w:t>
      </w:r>
      <w:r>
        <w:rPr>
          <w:sz w:val="22"/>
        </w:rPr>
        <w:t>据冗余度高、数据规模大等特点。</w:t>
      </w:r>
      <w:r>
        <w:rPr>
          <w:rFonts w:ascii="Times New Roman" w:hAnsi="Times New Roman" w:eastAsia="Times New Roman"/>
          <w:sz w:val="22"/>
        </w:rPr>
        <w:t>—— DMBOK 1.0</w:t>
      </w:r>
    </w:p>
    <w:p>
      <w:pPr>
        <w:pStyle w:val="ListParagraph"/>
        <w:numPr>
          <w:ilvl w:val="0"/>
          <w:numId w:val="15"/>
        </w:numPr>
        <w:tabs>
          <w:tab w:pos="2238" w:val="left" w:leader="none"/>
        </w:tabs>
        <w:spacing w:line="205" w:lineRule="exact" w:before="0" w:after="0"/>
        <w:ind w:left="2237" w:right="0" w:hanging="479"/>
        <w:jc w:val="left"/>
        <w:rPr>
          <w:rFonts w:ascii="Times New Roman" w:eastAsia="Times New Roman"/>
          <w:sz w:val="22"/>
        </w:rPr>
      </w:pPr>
      <w:r>
        <w:rPr>
          <w:spacing w:val="-1"/>
          <w:sz w:val="22"/>
        </w:rPr>
        <w:t>数据仓库 </w:t>
      </w:r>
      <w:r>
        <w:rPr>
          <w:rFonts w:ascii="Times New Roman" w:eastAsia="Times New Roman"/>
          <w:sz w:val="22"/>
        </w:rPr>
        <w:t>Data</w:t>
      </w:r>
      <w:r>
        <w:rPr>
          <w:rFonts w:ascii="Times New Roman" w:eastAsia="Times New Roman"/>
          <w:spacing w:val="-7"/>
          <w:sz w:val="22"/>
        </w:rPr>
        <w:t> </w:t>
      </w:r>
      <w:r>
        <w:rPr>
          <w:rFonts w:ascii="Times New Roman" w:eastAsia="Times New Roman"/>
          <w:spacing w:val="-2"/>
          <w:sz w:val="22"/>
        </w:rPr>
        <w:t>Warehouse</w:t>
      </w:r>
    </w:p>
    <w:p>
      <w:pPr>
        <w:spacing w:line="398" w:lineRule="auto" w:before="107"/>
        <w:ind w:left="1320" w:right="1314" w:firstLine="439"/>
        <w:jc w:val="both"/>
        <w:rPr>
          <w:rFonts w:ascii="Times New Roman" w:hAnsi="Times New Roman" w:eastAsia="Times New Roman"/>
          <w:sz w:val="22"/>
        </w:rPr>
      </w:pPr>
      <w:r>
        <w:rPr>
          <w:spacing w:val="-2"/>
          <w:sz w:val="22"/>
        </w:rPr>
        <w:t>是一个面向主题的、集成的、相对稳定的、反映历史变化的数据集合用于支持管理</w:t>
      </w:r>
      <w:r>
        <w:rPr>
          <w:spacing w:val="-11"/>
          <w:sz w:val="22"/>
        </w:rPr>
        <w:t>决策。其主要功能是将组织透过资讯系统之联机事务处理</w:t>
      </w:r>
      <w:r>
        <w:rPr>
          <w:rFonts w:ascii="Times New Roman" w:hAnsi="Times New Roman" w:eastAsia="Times New Roman"/>
          <w:spacing w:val="-2"/>
          <w:sz w:val="22"/>
        </w:rPr>
        <w:t>(OLTP)</w:t>
      </w:r>
      <w:r>
        <w:rPr>
          <w:spacing w:val="-2"/>
          <w:sz w:val="22"/>
        </w:rPr>
        <w:t>经年累月所累积的大量</w:t>
      </w:r>
      <w:r>
        <w:rPr>
          <w:spacing w:val="-2"/>
          <w:sz w:val="22"/>
        </w:rPr>
        <w:t>资料，透过数据仓库理论所特有的资料储存架构，作一有系统的分析整理，以利各种分</w:t>
      </w:r>
      <w:r>
        <w:rPr>
          <w:spacing w:val="-2"/>
          <w:sz w:val="22"/>
        </w:rPr>
        <w:t>析方法如联机分析处理</w:t>
      </w:r>
      <w:r>
        <w:rPr>
          <w:rFonts w:ascii="Times New Roman" w:hAnsi="Times New Roman" w:eastAsia="Times New Roman"/>
          <w:spacing w:val="-2"/>
          <w:sz w:val="22"/>
        </w:rPr>
        <w:t>(OLAP)</w:t>
      </w:r>
      <w:r>
        <w:rPr>
          <w:spacing w:val="-2"/>
          <w:sz w:val="22"/>
        </w:rPr>
        <w:t>、数据挖掘</w:t>
      </w:r>
      <w:r>
        <w:rPr>
          <w:rFonts w:ascii="Times New Roman" w:hAnsi="Times New Roman" w:eastAsia="Times New Roman"/>
          <w:spacing w:val="-2"/>
          <w:sz w:val="22"/>
        </w:rPr>
        <w:t>(Data Mining)</w:t>
      </w:r>
      <w:r>
        <w:rPr>
          <w:spacing w:val="-2"/>
          <w:sz w:val="22"/>
        </w:rPr>
        <w:t>之进行，并进而支持如决策支持</w:t>
      </w:r>
      <w:r>
        <w:rPr>
          <w:spacing w:val="-2"/>
          <w:sz w:val="22"/>
        </w:rPr>
        <w:t>系统</w:t>
      </w:r>
      <w:r>
        <w:rPr>
          <w:rFonts w:ascii="Times New Roman" w:hAnsi="Times New Roman" w:eastAsia="Times New Roman"/>
          <w:spacing w:val="-2"/>
          <w:sz w:val="22"/>
        </w:rPr>
        <w:t>(DSS)</w:t>
      </w:r>
      <w:r>
        <w:rPr>
          <w:spacing w:val="-2"/>
          <w:sz w:val="22"/>
        </w:rPr>
        <w:t>、主管资讯系统</w:t>
      </w:r>
      <w:r>
        <w:rPr>
          <w:rFonts w:ascii="Times New Roman" w:hAnsi="Times New Roman" w:eastAsia="Times New Roman"/>
          <w:spacing w:val="-2"/>
          <w:sz w:val="22"/>
        </w:rPr>
        <w:t>(EIS)</w:t>
      </w:r>
      <w:r>
        <w:rPr>
          <w:spacing w:val="-2"/>
          <w:sz w:val="22"/>
        </w:rPr>
        <w:t>之创建，帮助决策者能快速有效的自大量资料中，分析</w:t>
      </w:r>
      <w:r>
        <w:rPr>
          <w:spacing w:val="-2"/>
          <w:sz w:val="22"/>
        </w:rPr>
        <w:t>出有价值的资讯，以利决策拟定及快速回应外在环境变动，帮助建构商业智能</w:t>
      </w:r>
      <w:r>
        <w:rPr>
          <w:rFonts w:ascii="Times New Roman" w:hAnsi="Times New Roman" w:eastAsia="Times New Roman"/>
          <w:spacing w:val="-2"/>
          <w:sz w:val="22"/>
        </w:rPr>
        <w:t>(BI)</w:t>
      </w:r>
      <w:r>
        <w:rPr>
          <w:spacing w:val="-2"/>
          <w:sz w:val="22"/>
        </w:rPr>
        <w:t>。</w:t>
      </w:r>
      <w:r>
        <w:rPr>
          <w:rFonts w:ascii="Times New Roman" w:hAnsi="Times New Roman" w:eastAsia="Times New Roman"/>
          <w:spacing w:val="-10"/>
          <w:sz w:val="22"/>
        </w:rPr>
        <w:t>—</w:t>
      </w:r>
    </w:p>
    <w:p>
      <w:pPr>
        <w:spacing w:before="1"/>
        <w:ind w:left="1320" w:right="0" w:firstLine="0"/>
        <w:jc w:val="left"/>
        <w:rPr>
          <w:rFonts w:ascii="Times New Roman" w:eastAsia="Times New Roman"/>
          <w:sz w:val="22"/>
        </w:rPr>
      </w:pPr>
      <w:r>
        <w:rPr>
          <w:sz w:val="22"/>
        </w:rPr>
        <w:t>《</w:t>
      </w:r>
      <w:r>
        <w:rPr>
          <w:rFonts w:ascii="Times New Roman" w:eastAsia="Times New Roman"/>
          <w:sz w:val="22"/>
        </w:rPr>
        <w:t>Building</w:t>
      </w:r>
      <w:r>
        <w:rPr>
          <w:rFonts w:ascii="Times New Roman" w:eastAsia="Times New Roman"/>
          <w:spacing w:val="-8"/>
          <w:sz w:val="22"/>
        </w:rPr>
        <w:t> </w:t>
      </w:r>
      <w:r>
        <w:rPr>
          <w:rFonts w:ascii="Times New Roman" w:eastAsia="Times New Roman"/>
          <w:sz w:val="22"/>
        </w:rPr>
        <w:t>the</w:t>
      </w:r>
      <w:r>
        <w:rPr>
          <w:rFonts w:ascii="Times New Roman" w:eastAsia="Times New Roman"/>
          <w:spacing w:val="-5"/>
          <w:sz w:val="22"/>
        </w:rPr>
        <w:t> </w:t>
      </w:r>
      <w:r>
        <w:rPr>
          <w:rFonts w:ascii="Times New Roman" w:eastAsia="Times New Roman"/>
          <w:sz w:val="22"/>
        </w:rPr>
        <w:t>data</w:t>
      </w:r>
      <w:r>
        <w:rPr>
          <w:rFonts w:ascii="Times New Roman" w:eastAsia="Times New Roman"/>
          <w:spacing w:val="-5"/>
          <w:sz w:val="22"/>
        </w:rPr>
        <w:t> </w:t>
      </w:r>
      <w:r>
        <w:rPr>
          <w:rFonts w:ascii="Times New Roman" w:eastAsia="Times New Roman"/>
          <w:sz w:val="22"/>
        </w:rPr>
        <w:t>warehouse</w:t>
      </w:r>
      <w:r>
        <w:rPr>
          <w:spacing w:val="-6"/>
          <w:sz w:val="22"/>
        </w:rPr>
        <w:t>》 </w:t>
      </w:r>
      <w:r>
        <w:rPr>
          <w:rFonts w:ascii="Times New Roman" w:eastAsia="Times New Roman"/>
          <w:sz w:val="22"/>
        </w:rPr>
        <w:t>W</w:t>
      </w:r>
      <w:r>
        <w:rPr>
          <w:rFonts w:ascii="Times New Roman" w:eastAsia="Times New Roman"/>
          <w:spacing w:val="-3"/>
          <w:sz w:val="22"/>
        </w:rPr>
        <w:t>. </w:t>
      </w:r>
      <w:r>
        <w:rPr>
          <w:rFonts w:ascii="Times New Roman" w:eastAsia="Times New Roman"/>
          <w:sz w:val="22"/>
        </w:rPr>
        <w:t>H</w:t>
      </w:r>
      <w:r>
        <w:rPr>
          <w:rFonts w:ascii="Times New Roman" w:eastAsia="Times New Roman"/>
          <w:spacing w:val="-2"/>
          <w:sz w:val="22"/>
        </w:rPr>
        <w:t>. </w:t>
      </w:r>
      <w:r>
        <w:rPr>
          <w:rFonts w:ascii="Times New Roman" w:eastAsia="Times New Roman"/>
          <w:spacing w:val="-4"/>
          <w:sz w:val="22"/>
        </w:rPr>
        <w:t>Inmon</w:t>
      </w:r>
    </w:p>
    <w:p>
      <w:pPr>
        <w:pStyle w:val="ListParagraph"/>
        <w:numPr>
          <w:ilvl w:val="0"/>
          <w:numId w:val="15"/>
        </w:numPr>
        <w:tabs>
          <w:tab w:pos="2180" w:val="left" w:leader="none"/>
        </w:tabs>
        <w:spacing w:line="240" w:lineRule="auto" w:before="186" w:after="0"/>
        <w:ind w:left="2179" w:right="0" w:hanging="421"/>
        <w:jc w:val="left"/>
        <w:rPr>
          <w:rFonts w:ascii="Times New Roman" w:eastAsia="Times New Roman"/>
          <w:sz w:val="22"/>
        </w:rPr>
      </w:pPr>
      <w:r>
        <w:rPr>
          <w:spacing w:val="-1"/>
          <w:sz w:val="22"/>
        </w:rPr>
        <w:t>数据集市 </w:t>
      </w:r>
      <w:r>
        <w:rPr>
          <w:rFonts w:ascii="Times New Roman" w:eastAsia="Times New Roman"/>
          <w:sz w:val="22"/>
        </w:rPr>
        <w:t>Data</w:t>
      </w:r>
      <w:r>
        <w:rPr>
          <w:rFonts w:ascii="Times New Roman" w:eastAsia="Times New Roman"/>
          <w:spacing w:val="-2"/>
          <w:sz w:val="22"/>
        </w:rPr>
        <w:t> </w:t>
      </w:r>
      <w:r>
        <w:rPr>
          <w:rFonts w:ascii="Times New Roman" w:eastAsia="Times New Roman"/>
          <w:spacing w:val="-4"/>
          <w:sz w:val="22"/>
        </w:rPr>
        <w:t>Mart</w:t>
      </w:r>
    </w:p>
    <w:p>
      <w:pPr>
        <w:pStyle w:val="BodyText"/>
        <w:spacing w:before="1"/>
        <w:rPr>
          <w:rFonts w:ascii="Times New Roman"/>
          <w:sz w:val="27"/>
        </w:rPr>
      </w:pPr>
    </w:p>
    <w:p>
      <w:pPr>
        <w:spacing w:before="92"/>
        <w:ind w:left="1329" w:right="1325" w:firstLine="0"/>
        <w:jc w:val="center"/>
        <w:rPr>
          <w:rFonts w:ascii="Times New Roman"/>
          <w:sz w:val="18"/>
        </w:rPr>
      </w:pPr>
      <w:r>
        <w:rPr>
          <w:rFonts w:ascii="Times New Roman"/>
          <w:spacing w:val="-5"/>
          <w:sz w:val="18"/>
        </w:rPr>
        <w:t>49</w:t>
      </w:r>
    </w:p>
    <w:p>
      <w:pPr>
        <w:spacing w:after="0"/>
        <w:jc w:val="center"/>
        <w:rPr>
          <w:rFonts w:ascii="Times New Roman"/>
          <w:sz w:val="18"/>
        </w:rPr>
        <w:sectPr>
          <w:headerReference w:type="default" r:id="rId66"/>
          <w:pgSz w:w="11910" w:h="16840"/>
          <w:pgMar w:header="877" w:footer="0" w:top="1100" w:bottom="280" w:left="480" w:right="480"/>
        </w:sectPr>
      </w:pPr>
    </w:p>
    <w:p>
      <w:pPr>
        <w:pStyle w:val="BodyText"/>
        <w:spacing w:before="10"/>
        <w:rPr>
          <w:rFonts w:ascii="Times New Roman"/>
          <w:sz w:val="29"/>
        </w:rPr>
      </w:pPr>
    </w:p>
    <w:p>
      <w:pPr>
        <w:spacing w:line="398" w:lineRule="auto" w:before="70"/>
        <w:ind w:left="1320" w:right="1316" w:firstLine="439"/>
        <w:jc w:val="both"/>
        <w:rPr>
          <w:rFonts w:ascii="Times New Roman" w:hAnsi="Times New Roman" w:eastAsia="Times New Roman"/>
          <w:sz w:val="22"/>
        </w:rPr>
      </w:pPr>
      <w:r>
        <w:rPr>
          <w:spacing w:val="-2"/>
          <w:sz w:val="22"/>
        </w:rPr>
        <w:t>是企业级数据仓库的一个子集，他主要面向部门级业务，并且只面向某个特定的主</w:t>
      </w:r>
      <w:r>
        <w:rPr>
          <w:spacing w:val="-2"/>
          <w:sz w:val="22"/>
        </w:rPr>
        <w:t>题，按照多维的方式进行存储，包括定义维度、需要计算的指标、维度的层次等，生成</w:t>
      </w:r>
      <w:r>
        <w:rPr>
          <w:spacing w:val="-2"/>
          <w:sz w:val="22"/>
        </w:rPr>
        <w:t>面向决策分析需求的数据立方体。</w:t>
      </w:r>
      <w:r>
        <w:rPr>
          <w:rFonts w:ascii="Times New Roman" w:hAnsi="Times New Roman" w:eastAsia="Times New Roman"/>
          <w:spacing w:val="-2"/>
          <w:sz w:val="22"/>
        </w:rPr>
        <w:t>——wikipedia</w:t>
      </w:r>
    </w:p>
    <w:p>
      <w:pPr>
        <w:pStyle w:val="ListParagraph"/>
        <w:numPr>
          <w:ilvl w:val="0"/>
          <w:numId w:val="15"/>
        </w:numPr>
        <w:tabs>
          <w:tab w:pos="2180" w:val="left" w:leader="none"/>
        </w:tabs>
        <w:spacing w:line="240" w:lineRule="auto" w:before="0" w:after="0"/>
        <w:ind w:left="2179" w:right="0" w:hanging="421"/>
        <w:jc w:val="left"/>
        <w:rPr>
          <w:rFonts w:ascii="Times New Roman" w:eastAsia="Times New Roman"/>
          <w:sz w:val="22"/>
        </w:rPr>
      </w:pPr>
      <w:r>
        <w:rPr>
          <w:spacing w:val="-1"/>
          <w:sz w:val="22"/>
        </w:rPr>
        <w:t>数据地图 </w:t>
      </w:r>
      <w:r>
        <w:rPr>
          <w:rFonts w:ascii="Times New Roman" w:eastAsia="Times New Roman"/>
          <w:sz w:val="22"/>
        </w:rPr>
        <w:t>Data</w:t>
      </w:r>
      <w:r>
        <w:rPr>
          <w:rFonts w:ascii="Times New Roman" w:eastAsia="Times New Roman"/>
          <w:spacing w:val="-2"/>
          <w:sz w:val="22"/>
        </w:rPr>
        <w:t> Mapping</w:t>
      </w:r>
    </w:p>
    <w:p>
      <w:pPr>
        <w:spacing w:line="398" w:lineRule="auto" w:before="187"/>
        <w:ind w:left="1320" w:right="1315" w:firstLine="439"/>
        <w:jc w:val="both"/>
        <w:rPr>
          <w:rFonts w:ascii="Times New Roman" w:hAnsi="Times New Roman" w:eastAsia="Times New Roman"/>
          <w:sz w:val="22"/>
        </w:rPr>
      </w:pPr>
      <w:r>
        <w:rPr>
          <w:spacing w:val="-6"/>
          <w:sz w:val="22"/>
        </w:rPr>
        <w:t>数据地图作为数据融合的第一步，指在数据仓库中使用一系列严格定义的数据连接</w:t>
      </w:r>
      <w:r>
        <w:rPr>
          <w:spacing w:val="-2"/>
          <w:sz w:val="22"/>
        </w:rPr>
        <w:t>不同的数据模型。数据定义可以为任意的原子单位，比如一个单位的元数据，而数据的</w:t>
      </w:r>
      <w:r>
        <w:rPr>
          <w:spacing w:val="-2"/>
          <w:sz w:val="22"/>
        </w:rPr>
        <w:t>连接遵从一系列依赖于该模型阈值的标准。</w:t>
      </w:r>
      <w:r>
        <w:rPr>
          <w:rFonts w:ascii="Times New Roman" w:hAnsi="Times New Roman" w:eastAsia="Times New Roman"/>
          <w:spacing w:val="-2"/>
          <w:sz w:val="22"/>
        </w:rPr>
        <w:t>——wikipedia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spacing w:before="0"/>
        <w:ind w:left="1329" w:right="1325" w:firstLine="0"/>
        <w:jc w:val="center"/>
        <w:rPr>
          <w:rFonts w:ascii="Times New Roman"/>
          <w:sz w:val="18"/>
        </w:rPr>
      </w:pPr>
      <w:r>
        <w:rPr>
          <w:rFonts w:ascii="Times New Roman"/>
          <w:spacing w:val="-5"/>
          <w:sz w:val="18"/>
        </w:rPr>
        <w:t>50</w:t>
      </w:r>
    </w:p>
    <w:p>
      <w:pPr>
        <w:spacing w:after="0"/>
        <w:jc w:val="center"/>
        <w:rPr>
          <w:rFonts w:ascii="Times New Roman"/>
          <w:sz w:val="18"/>
        </w:rPr>
        <w:sectPr>
          <w:headerReference w:type="default" r:id="rId67"/>
          <w:pgSz w:w="11910" w:h="16840"/>
          <w:pgMar w:header="877" w:footer="0" w:top="1100" w:bottom="280" w:left="480" w:right="480"/>
        </w:sectPr>
      </w:pPr>
    </w:p>
    <w:p>
      <w:pPr>
        <w:pStyle w:val="BodyText"/>
        <w:rPr>
          <w:rFonts w:ascii="Times New Roman"/>
          <w:sz w:val="20"/>
        </w:rPr>
      </w:pPr>
    </w:p>
    <w:p>
      <w:pPr>
        <w:pStyle w:val="Heading3"/>
        <w:spacing w:before="197"/>
        <w:ind w:left="1320" w:firstLine="0"/>
        <w:rPr>
          <w:rFonts w:ascii="黑体" w:eastAsia="黑体"/>
        </w:rPr>
      </w:pPr>
      <w:bookmarkStart w:name="_bookmark67" w:id="68"/>
      <w:bookmarkEnd w:id="68"/>
      <w:r>
        <w:rPr/>
      </w:r>
      <w:r>
        <w:rPr>
          <w:rFonts w:ascii="黑体" w:eastAsia="黑体"/>
          <w:w w:val="95"/>
        </w:rPr>
        <w:t>附</w:t>
      </w:r>
      <w:r>
        <w:rPr>
          <w:rFonts w:ascii="黑体" w:eastAsia="黑体"/>
          <w:w w:val="95"/>
        </w:rPr>
        <w:t>录</w:t>
      </w:r>
      <w:r>
        <w:rPr>
          <w:rFonts w:ascii="黑体" w:eastAsia="黑体"/>
          <w:w w:val="95"/>
        </w:rPr>
        <w:t>二</w:t>
      </w:r>
      <w:r>
        <w:rPr>
          <w:rFonts w:ascii="黑体" w:eastAsia="黑体"/>
          <w:w w:val="95"/>
        </w:rPr>
        <w:t>：</w:t>
      </w:r>
      <w:r>
        <w:rPr>
          <w:rFonts w:ascii="黑体" w:eastAsia="黑体"/>
          <w:w w:val="95"/>
        </w:rPr>
        <w:t>数</w:t>
      </w:r>
      <w:r>
        <w:rPr>
          <w:rFonts w:ascii="黑体" w:eastAsia="黑体"/>
          <w:w w:val="95"/>
        </w:rPr>
        <w:t>据</w:t>
      </w:r>
      <w:r>
        <w:rPr>
          <w:rFonts w:ascii="黑体" w:eastAsia="黑体"/>
          <w:w w:val="95"/>
        </w:rPr>
        <w:t>资</w:t>
      </w:r>
      <w:r>
        <w:rPr>
          <w:rFonts w:ascii="黑体" w:eastAsia="黑体"/>
          <w:w w:val="95"/>
        </w:rPr>
        <w:t>产</w:t>
      </w:r>
      <w:r>
        <w:rPr>
          <w:rFonts w:ascii="黑体" w:eastAsia="黑体"/>
          <w:w w:val="95"/>
        </w:rPr>
        <w:t>管</w:t>
      </w:r>
      <w:r>
        <w:rPr>
          <w:rFonts w:ascii="黑体" w:eastAsia="黑体"/>
          <w:w w:val="95"/>
        </w:rPr>
        <w:t>理</w:t>
      </w:r>
      <w:r>
        <w:rPr>
          <w:rFonts w:ascii="黑体" w:eastAsia="黑体"/>
          <w:w w:val="95"/>
        </w:rPr>
        <w:t>的</w:t>
      </w:r>
      <w:r>
        <w:rPr>
          <w:rFonts w:ascii="黑体" w:eastAsia="黑体"/>
          <w:w w:val="95"/>
        </w:rPr>
        <w:t>实</w:t>
      </w:r>
      <w:r>
        <w:rPr>
          <w:rFonts w:ascii="黑体" w:eastAsia="黑体"/>
          <w:w w:val="95"/>
        </w:rPr>
        <w:t>践</w:t>
      </w:r>
      <w:r>
        <w:rPr>
          <w:rFonts w:ascii="黑体" w:eastAsia="黑体"/>
          <w:w w:val="95"/>
        </w:rPr>
        <w:t>案</w:t>
      </w:r>
      <w:r>
        <w:rPr>
          <w:rFonts w:ascii="黑体" w:eastAsia="黑体"/>
          <w:spacing w:val="-10"/>
          <w:w w:val="95"/>
        </w:rPr>
        <w:t>例</w:t>
      </w:r>
    </w:p>
    <w:p>
      <w:pPr>
        <w:pStyle w:val="BodyText"/>
        <w:spacing w:before="7"/>
        <w:rPr>
          <w:rFonts w:ascii="黑体"/>
          <w:sz w:val="23"/>
        </w:rPr>
      </w:pPr>
    </w:p>
    <w:p>
      <w:pPr>
        <w:pStyle w:val="BodyText"/>
        <w:spacing w:line="417" w:lineRule="auto"/>
        <w:ind w:left="1320" w:right="1179" w:firstLine="559"/>
      </w:pPr>
      <w:r>
        <w:rPr>
          <w:spacing w:val="-2"/>
        </w:rPr>
        <w:t>数据资产管理知识体系涉及管理、技术、金融等多个学科领域，</w:t>
      </w:r>
      <w:r>
        <w:rPr>
          <w:spacing w:val="-10"/>
        </w:rPr>
        <w:t>是一个非常复杂的系统工程，本白皮书涉及的知识内容及理论体系尚</w:t>
      </w:r>
      <w:r>
        <w:rPr>
          <w:spacing w:val="-2"/>
        </w:rPr>
        <w:t>不成熟，还有很多问题和缺陷有待完善，目前处于一个非常初级的阶</w:t>
      </w:r>
      <w:r>
        <w:rPr>
          <w:spacing w:val="-6"/>
        </w:rPr>
        <w:t>段。</w:t>
      </w:r>
    </w:p>
    <w:p>
      <w:pPr>
        <w:pStyle w:val="BodyText"/>
        <w:spacing w:line="417" w:lineRule="auto"/>
        <w:ind w:left="1320" w:right="1035" w:firstLine="559"/>
      </w:pPr>
      <w:r>
        <w:rPr>
          <w:spacing w:val="-12"/>
        </w:rPr>
        <w:t>为了促进经验交流，本白皮书还征集了数据中心联盟成员内相关</w:t>
      </w:r>
      <w:r>
        <w:rPr>
          <w:spacing w:val="-2"/>
        </w:rPr>
        <w:t> </w:t>
      </w:r>
      <w:r>
        <w:rPr>
          <w:spacing w:val="-7"/>
        </w:rPr>
        <w:t>专家企业主导或参与的应用案例供业界参考。案例介绍包括基本情况、</w:t>
      </w:r>
      <w:r>
        <w:rPr>
          <w:spacing w:val="-2"/>
        </w:rPr>
        <w:t>痛点难点、实施步骤、应用效果以及洞察启示。联盟还将继续征集更</w:t>
      </w:r>
      <w:r>
        <w:rPr>
          <w:spacing w:val="-2"/>
        </w:rPr>
        <w:t> 多的典型案例补充到未来的版本中。</w:t>
      </w:r>
    </w:p>
    <w:p>
      <w:pPr>
        <w:pStyle w:val="Heading2"/>
        <w:spacing w:before="211"/>
      </w:pPr>
      <w:bookmarkStart w:name="_bookmark68" w:id="69"/>
      <w:bookmarkEnd w:id="69"/>
      <w:r>
        <w:rPr>
          <w:b w:val="0"/>
        </w:rPr>
      </w:r>
      <w:r>
        <w:rPr>
          <w:w w:val="95"/>
        </w:rPr>
        <w:t>（</w:t>
      </w:r>
      <w:r>
        <w:rPr>
          <w:w w:val="95"/>
        </w:rPr>
        <w:t>一</w:t>
      </w:r>
      <w:r>
        <w:rPr>
          <w:w w:val="95"/>
        </w:rPr>
        <w:t>）</w:t>
      </w:r>
      <w:r>
        <w:rPr>
          <w:w w:val="95"/>
        </w:rPr>
        <w:t>中</w:t>
      </w:r>
      <w:r>
        <w:rPr>
          <w:w w:val="95"/>
        </w:rPr>
        <w:t>国</w:t>
      </w:r>
      <w:r>
        <w:rPr>
          <w:w w:val="95"/>
        </w:rPr>
        <w:t>电</w:t>
      </w:r>
      <w:r>
        <w:rPr>
          <w:w w:val="95"/>
        </w:rPr>
        <w:t>信</w:t>
      </w:r>
      <w:r>
        <w:rPr>
          <w:w w:val="95"/>
        </w:rPr>
        <w:t>集</w:t>
      </w:r>
      <w:r>
        <w:rPr>
          <w:w w:val="95"/>
        </w:rPr>
        <w:t>团</w:t>
      </w:r>
      <w:r>
        <w:rPr>
          <w:w w:val="95"/>
        </w:rPr>
        <w:t>公</w:t>
      </w:r>
      <w:r>
        <w:rPr>
          <w:w w:val="95"/>
        </w:rPr>
        <w:t>司</w:t>
      </w:r>
      <w:r>
        <w:rPr>
          <w:w w:val="95"/>
        </w:rPr>
        <w:t>大</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4"/>
        </w:rPr>
        <w:t>【数据情况】</w:t>
      </w:r>
    </w:p>
    <w:p>
      <w:pPr>
        <w:pStyle w:val="BodyText"/>
        <w:spacing w:before="9"/>
        <w:rPr>
          <w:rFonts w:ascii="黑体"/>
          <w:sz w:val="20"/>
        </w:rPr>
      </w:pPr>
    </w:p>
    <w:p>
      <w:pPr>
        <w:pStyle w:val="BodyText"/>
        <w:ind w:left="1879"/>
        <w:jc w:val="both"/>
      </w:pPr>
      <w:r>
        <w:rPr>
          <w:spacing w:val="-2"/>
        </w:rPr>
        <w:t>中国电信集团公司是我国特大型国有通信企业，在全国 </w:t>
      </w:r>
      <w:r>
        <w:rPr>
          <w:rFonts w:ascii="Times New Roman" w:eastAsia="Times New Roman"/>
        </w:rPr>
        <w:t>31</w:t>
      </w:r>
      <w:r>
        <w:rPr>
          <w:rFonts w:ascii="Times New Roman" w:eastAsia="Times New Roman"/>
          <w:spacing w:val="-17"/>
        </w:rPr>
        <w:t> </w:t>
      </w:r>
      <w:r>
        <w:rPr>
          <w:spacing w:val="-5"/>
        </w:rPr>
        <w:t>个省</w:t>
      </w:r>
    </w:p>
    <w:p>
      <w:pPr>
        <w:pStyle w:val="BodyText"/>
        <w:spacing w:line="417" w:lineRule="auto" w:before="266"/>
        <w:ind w:left="1320" w:right="1314"/>
        <w:jc w:val="both"/>
      </w:pPr>
      <w:r>
        <w:rPr>
          <w:spacing w:val="-4"/>
        </w:rPr>
        <w:t>（区、市）和美洲、欧洲、香港、澳门等地设有分支机构，拥有覆盖</w:t>
      </w:r>
      <w:r>
        <w:rPr>
          <w:spacing w:val="-11"/>
        </w:rPr>
        <w:t>全国城乡、通达世界各地的通信信息服务网络。中国电信运营着世界</w:t>
      </w:r>
      <w:r>
        <w:rPr>
          <w:spacing w:val="-3"/>
        </w:rPr>
        <w:t>上规模最大的固定网、宽带网和 </w:t>
      </w:r>
      <w:r>
        <w:rPr>
          <w:rFonts w:ascii="Times New Roman" w:eastAsia="Times New Roman"/>
        </w:rPr>
        <w:t>CDMA</w:t>
      </w:r>
      <w:r>
        <w:rPr>
          <w:rFonts w:ascii="Times New Roman" w:eastAsia="Times New Roman"/>
          <w:spacing w:val="-18"/>
        </w:rPr>
        <w:t> </w:t>
      </w:r>
      <w:r>
        <w:rPr/>
        <w:t>网络，骨干网升级流量达到 </w:t>
      </w:r>
      <w:r>
        <w:rPr>
          <w:rFonts w:ascii="Times New Roman" w:eastAsia="Times New Roman"/>
          <w:spacing w:val="-6"/>
        </w:rPr>
        <w:t>22T</w:t>
      </w:r>
      <w:r>
        <w:rPr>
          <w:spacing w:val="-9"/>
        </w:rPr>
        <w:t>，出口带宽 </w:t>
      </w:r>
      <w:r>
        <w:rPr>
          <w:rFonts w:ascii="Times New Roman" w:eastAsia="Times New Roman"/>
          <w:spacing w:val="-6"/>
        </w:rPr>
        <w:t>760G</w:t>
      </w:r>
      <w:r>
        <w:rPr>
          <w:spacing w:val="-6"/>
        </w:rPr>
        <w:t>，光网覆盖国内领先并延伸至全球。同时，中国</w:t>
      </w:r>
      <w:r>
        <w:rPr>
          <w:spacing w:val="-2"/>
        </w:rPr>
        <w:t>电信拥有过亿固话、宽带和移动用户。</w:t>
      </w:r>
    </w:p>
    <w:p>
      <w:pPr>
        <w:pStyle w:val="BodyText"/>
        <w:spacing w:line="417" w:lineRule="auto"/>
        <w:ind w:left="1320" w:right="1313" w:firstLine="559"/>
        <w:jc w:val="both"/>
      </w:pPr>
      <w:r>
        <w:rPr>
          <w:spacing w:val="-4"/>
        </w:rPr>
        <w:t>因此，中国电信在进行全集团范围的数据资产管理工作之前，数</w:t>
      </w:r>
      <w:r>
        <w:rPr>
          <w:spacing w:val="-5"/>
        </w:rPr>
        <w:t>据分布于全国 </w:t>
      </w:r>
      <w:r>
        <w:rPr>
          <w:rFonts w:ascii="Times New Roman" w:eastAsia="Times New Roman"/>
        </w:rPr>
        <w:t>31</w:t>
      </w:r>
      <w:r>
        <w:rPr>
          <w:rFonts w:ascii="Times New Roman" w:eastAsia="Times New Roman"/>
          <w:spacing w:val="-18"/>
        </w:rPr>
        <w:t> </w:t>
      </w:r>
      <w:r>
        <w:rPr>
          <w:spacing w:val="-18"/>
        </w:rPr>
        <w:t>省 </w:t>
      </w:r>
      <w:r>
        <w:rPr>
          <w:rFonts w:ascii="Times New Roman" w:eastAsia="Times New Roman"/>
        </w:rPr>
        <w:t>300</w:t>
      </w:r>
      <w:r>
        <w:rPr>
          <w:rFonts w:ascii="Times New Roman" w:eastAsia="Times New Roman"/>
          <w:spacing w:val="-17"/>
        </w:rPr>
        <w:t> </w:t>
      </w:r>
      <w:r>
        <w:rPr/>
        <w:t>余地市之间。数据整体情况具有数据分散、规模大、数据种类繁多等特征。且各省</w:t>
      </w:r>
      <w:r>
        <w:rPr>
          <w:rFonts w:ascii="Times New Roman" w:eastAsia="Times New Roman"/>
        </w:rPr>
        <w:t>/</w:t>
      </w:r>
      <w:r>
        <w:rPr>
          <w:spacing w:val="9"/>
        </w:rPr>
        <w:t>市之间大多采用</w:t>
      </w:r>
      <w:r>
        <w:rPr>
          <w:rFonts w:ascii="Times New Roman" w:eastAsia="Times New Roman"/>
        </w:rPr>
        <w:t>IT</w:t>
      </w:r>
      <w:r>
        <w:rPr>
          <w:rFonts w:ascii="Times New Roman" w:eastAsia="Times New Roman"/>
          <w:spacing w:val="-18"/>
        </w:rPr>
        <w:t> </w:t>
      </w:r>
      <w:r>
        <w:rPr/>
        <w:t>系统自建</w:t>
      </w:r>
      <w:r>
        <w:rPr>
          <w:spacing w:val="-2"/>
        </w:rPr>
        <w:t>的方式开展信息化建设工作，所以各平台的数据规范也各不相同。</w:t>
      </w:r>
    </w:p>
    <w:p>
      <w:pPr>
        <w:pStyle w:val="BodyText"/>
        <w:spacing w:line="358" w:lineRule="exact"/>
        <w:ind w:left="1879"/>
        <w:rPr>
          <w:rFonts w:ascii="黑体" w:eastAsia="黑体"/>
        </w:rPr>
      </w:pPr>
      <w:r>
        <w:rPr>
          <w:rFonts w:ascii="黑体" w:eastAsia="黑体"/>
          <w:spacing w:val="-4"/>
        </w:rPr>
        <w:t>【痛点难点】</w:t>
      </w:r>
    </w:p>
    <w:p>
      <w:pPr>
        <w:pStyle w:val="BodyText"/>
        <w:spacing w:before="4"/>
        <w:rPr>
          <w:rFonts w:ascii="黑体"/>
          <w:sz w:val="11"/>
        </w:rPr>
      </w:pPr>
    </w:p>
    <w:p>
      <w:pPr>
        <w:spacing w:before="92"/>
        <w:ind w:left="1329" w:right="1325" w:firstLine="0"/>
        <w:jc w:val="center"/>
        <w:rPr>
          <w:rFonts w:ascii="Times New Roman"/>
          <w:sz w:val="18"/>
        </w:rPr>
      </w:pPr>
      <w:r>
        <w:rPr>
          <w:rFonts w:ascii="Times New Roman"/>
          <w:spacing w:val="-5"/>
          <w:sz w:val="18"/>
        </w:rPr>
        <w:t>51</w:t>
      </w:r>
    </w:p>
    <w:p>
      <w:pPr>
        <w:spacing w:after="0"/>
        <w:jc w:val="center"/>
        <w:rPr>
          <w:rFonts w:ascii="Times New Roman"/>
          <w:sz w:val="18"/>
        </w:rPr>
        <w:sectPr>
          <w:headerReference w:type="default" r:id="rId6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4" w:firstLine="559"/>
        <w:jc w:val="both"/>
      </w:pPr>
      <w:r>
        <w:rPr/>
        <w:t>中国电信业务触达全国各地、网元达千万级，且由于各</w:t>
      </w:r>
      <w:r>
        <w:rPr>
          <w:rFonts w:ascii="Times New Roman" w:eastAsia="Times New Roman"/>
        </w:rPr>
        <w:t>/</w:t>
      </w:r>
      <w:r>
        <w:rPr>
          <w:spacing w:val="-12"/>
        </w:rPr>
        <w:t>省市 </w:t>
      </w:r>
      <w:r>
        <w:rPr>
          <w:rFonts w:ascii="Times New Roman" w:eastAsia="Times New Roman"/>
        </w:rPr>
        <w:t>IT</w:t>
      </w:r>
      <w:r>
        <w:rPr>
          <w:spacing w:val="-11"/>
        </w:rPr>
        <w:t>系统均独立自建，导致业务数据和基础数据种类繁多，各地数据质量</w:t>
      </w:r>
      <w:r>
        <w:rPr>
          <w:spacing w:val="-9"/>
        </w:rPr>
        <w:t>参差不齐。再加上当时各级分公司大数据意识淡薄，使得各家数据相</w:t>
      </w:r>
      <w:r>
        <w:rPr>
          <w:spacing w:val="-4"/>
        </w:rPr>
        <w:t>互独立，形成数据孤岛，数据融合困难，难以最大限度的发挥数据价</w:t>
      </w:r>
      <w:r>
        <w:rPr>
          <w:spacing w:val="-6"/>
        </w:rPr>
        <w:t>值。</w:t>
      </w:r>
    </w:p>
    <w:p>
      <w:pPr>
        <w:pStyle w:val="Heading3"/>
        <w:numPr>
          <w:ilvl w:val="1"/>
          <w:numId w:val="15"/>
        </w:numPr>
        <w:tabs>
          <w:tab w:pos="2095" w:val="left" w:leader="none"/>
        </w:tabs>
        <w:spacing w:line="381" w:lineRule="exact" w:before="0" w:after="0"/>
        <w:ind w:left="2094" w:right="0" w:hanging="213"/>
        <w:jc w:val="left"/>
        <w:rPr>
          <w:rFonts w:ascii="Times New Roman" w:eastAsia="Times New Roman"/>
          <w:b/>
          <w:sz w:val="26"/>
        </w:rPr>
      </w:pPr>
      <w:r>
        <w:rPr>
          <w:w w:val="95"/>
        </w:rPr>
        <w:t>数据</w:t>
      </w:r>
      <w:r>
        <w:rPr>
          <w:w w:val="95"/>
        </w:rPr>
        <w:t>分</w:t>
      </w:r>
      <w:r>
        <w:rPr>
          <w:w w:val="95"/>
        </w:rPr>
        <w:t>散</w:t>
      </w:r>
      <w:r>
        <w:rPr>
          <w:w w:val="95"/>
        </w:rPr>
        <w:t>、</w:t>
      </w:r>
      <w:r>
        <w:rPr>
          <w:w w:val="95"/>
        </w:rPr>
        <w:t>规</w:t>
      </w:r>
      <w:r>
        <w:rPr>
          <w:w w:val="95"/>
        </w:rPr>
        <w:t>模</w:t>
      </w:r>
      <w:r>
        <w:rPr>
          <w:w w:val="95"/>
        </w:rPr>
        <w:t>大</w:t>
      </w:r>
      <w:r>
        <w:rPr>
          <w:w w:val="95"/>
        </w:rPr>
        <w:t>、</w:t>
      </w:r>
      <w:r>
        <w:rPr>
          <w:w w:val="95"/>
        </w:rPr>
        <w:t>种</w:t>
      </w:r>
      <w:r>
        <w:rPr>
          <w:w w:val="95"/>
        </w:rPr>
        <w:t>类</w:t>
      </w:r>
      <w:r>
        <w:rPr>
          <w:w w:val="95"/>
        </w:rPr>
        <w:t>繁</w:t>
      </w:r>
      <w:r>
        <w:rPr>
          <w:w w:val="95"/>
        </w:rPr>
        <w:t>多</w:t>
      </w:r>
      <w:r>
        <w:rPr>
          <w:w w:val="95"/>
        </w:rPr>
        <w:t>、</w:t>
      </w:r>
      <w:r>
        <w:rPr>
          <w:w w:val="95"/>
        </w:rPr>
        <w:t>质</w:t>
      </w:r>
      <w:r>
        <w:rPr>
          <w:w w:val="95"/>
        </w:rPr>
        <w:t>量</w:t>
      </w:r>
      <w:r>
        <w:rPr>
          <w:spacing w:val="-10"/>
          <w:w w:val="95"/>
        </w:rPr>
        <w:t>差</w:t>
      </w:r>
    </w:p>
    <w:p>
      <w:pPr>
        <w:pStyle w:val="BodyText"/>
        <w:spacing w:line="417" w:lineRule="auto" w:before="242"/>
        <w:ind w:left="1320" w:right="1312" w:firstLine="559"/>
        <w:jc w:val="both"/>
      </w:pPr>
      <w:r>
        <w:rPr>
          <w:spacing w:val="-1"/>
        </w:rPr>
        <w:t>中国电信全集团的数据类型包括 </w:t>
      </w:r>
      <w:r>
        <w:rPr>
          <w:rFonts w:ascii="Times New Roman" w:eastAsia="Times New Roman"/>
        </w:rPr>
        <w:t>M</w:t>
      </w:r>
      <w:r>
        <w:rPr>
          <w:rFonts w:ascii="Times New Roman" w:eastAsia="Times New Roman"/>
          <w:spacing w:val="-7"/>
        </w:rPr>
        <w:t> </w:t>
      </w:r>
      <w:r>
        <w:rPr>
          <w:spacing w:val="-40"/>
        </w:rPr>
        <w:t>域、</w:t>
      </w:r>
      <w:r>
        <w:rPr>
          <w:rFonts w:ascii="Times New Roman" w:eastAsia="Times New Roman"/>
        </w:rPr>
        <w:t>O</w:t>
      </w:r>
      <w:r>
        <w:rPr>
          <w:rFonts w:ascii="Times New Roman" w:eastAsia="Times New Roman"/>
          <w:spacing w:val="-8"/>
        </w:rPr>
        <w:t> </w:t>
      </w:r>
      <w:r>
        <w:rPr>
          <w:spacing w:val="-40"/>
        </w:rPr>
        <w:t>域、</w:t>
      </w:r>
      <w:r>
        <w:rPr>
          <w:rFonts w:ascii="Times New Roman" w:eastAsia="Times New Roman"/>
        </w:rPr>
        <w:t>B</w:t>
      </w:r>
      <w:r>
        <w:rPr>
          <w:rFonts w:ascii="Times New Roman" w:eastAsia="Times New Roman"/>
          <w:spacing w:val="-7"/>
        </w:rPr>
        <w:t> </w:t>
      </w:r>
      <w:r>
        <w:rPr>
          <w:spacing w:val="-13"/>
        </w:rPr>
        <w:t>域、网络信息、</w:t>
      </w:r>
      <w:r>
        <w:rPr>
          <w:spacing w:val="-2"/>
        </w:rPr>
        <w:t>位置信令、产品、电渠、行业、专业公司、基地等 </w:t>
      </w:r>
      <w:r>
        <w:rPr>
          <w:rFonts w:ascii="Times New Roman" w:eastAsia="Times New Roman"/>
        </w:rPr>
        <w:t>30</w:t>
      </w:r>
      <w:r>
        <w:rPr>
          <w:rFonts w:ascii="Times New Roman" w:eastAsia="Times New Roman"/>
          <w:spacing w:val="-18"/>
        </w:rPr>
        <w:t> </w:t>
      </w:r>
      <w:r>
        <w:rPr>
          <w:spacing w:val="-12"/>
        </w:rPr>
        <w:t>大类 </w:t>
      </w:r>
      <w:r>
        <w:rPr>
          <w:rFonts w:ascii="Times New Roman" w:eastAsia="Times New Roman"/>
        </w:rPr>
        <w:t>200</w:t>
      </w:r>
      <w:r>
        <w:rPr>
          <w:rFonts w:ascii="Times New Roman" w:eastAsia="Times New Roman"/>
          <w:spacing w:val="-17"/>
        </w:rPr>
        <w:t> </w:t>
      </w:r>
      <w:r>
        <w:rPr/>
        <w:t>子类</w:t>
      </w:r>
      <w:r>
        <w:rPr>
          <w:spacing w:val="-2"/>
        </w:rPr>
        <w:t>数据。在进行大数据资产管理之前，经初步统计各省</w:t>
      </w:r>
      <w:r>
        <w:rPr>
          <w:rFonts w:ascii="Times New Roman" w:eastAsia="Times New Roman"/>
          <w:spacing w:val="-2"/>
        </w:rPr>
        <w:t>/</w:t>
      </w:r>
      <w:r>
        <w:rPr>
          <w:spacing w:val="-2"/>
        </w:rPr>
        <w:t>市、专业公司</w:t>
      </w:r>
      <w:r>
        <w:rPr>
          <w:w w:val="95"/>
        </w:rPr>
        <w:t>自</w:t>
      </w:r>
      <w:r>
        <w:rPr>
          <w:w w:val="95"/>
        </w:rPr>
        <w:t>建</w:t>
      </w:r>
      <w:r>
        <w:rPr>
          <w:spacing w:val="69"/>
          <w:w w:val="95"/>
        </w:rPr>
        <w:t>的</w:t>
      </w:r>
      <w:r>
        <w:rPr>
          <w:rFonts w:ascii="Times New Roman" w:eastAsia="Times New Roman"/>
          <w:w w:val="95"/>
        </w:rPr>
        <w:t>IT</w:t>
      </w:r>
      <w:r>
        <w:rPr>
          <w:rFonts w:ascii="Times New Roman" w:eastAsia="Times New Roman"/>
          <w:spacing w:val="40"/>
        </w:rPr>
        <w:t> </w:t>
      </w:r>
      <w:r>
        <w:rPr>
          <w:w w:val="95"/>
        </w:rPr>
        <w:t>系</w:t>
      </w:r>
      <w:r>
        <w:rPr>
          <w:w w:val="95"/>
        </w:rPr>
        <w:t>统</w:t>
      </w:r>
      <w:r>
        <w:rPr>
          <w:w w:val="95"/>
        </w:rPr>
        <w:t>大</w:t>
      </w:r>
      <w:r>
        <w:rPr>
          <w:w w:val="95"/>
        </w:rPr>
        <w:t>约</w:t>
      </w:r>
      <w:r>
        <w:rPr>
          <w:w w:val="95"/>
        </w:rPr>
        <w:t>超</w:t>
      </w:r>
      <w:r>
        <w:rPr>
          <w:w w:val="95"/>
        </w:rPr>
        <w:t>过</w:t>
      </w:r>
      <w:r>
        <w:rPr>
          <w:spacing w:val="-2"/>
          <w:w w:val="95"/>
        </w:rPr>
        <w:t> </w:t>
      </w:r>
      <w:r>
        <w:rPr>
          <w:rFonts w:ascii="Times New Roman" w:eastAsia="Times New Roman"/>
          <w:w w:val="95"/>
        </w:rPr>
        <w:t>500</w:t>
      </w:r>
      <w:r>
        <w:rPr>
          <w:rFonts w:ascii="Times New Roman" w:eastAsia="Times New Roman"/>
          <w:spacing w:val="40"/>
        </w:rPr>
        <w:t> </w:t>
      </w:r>
      <w:r>
        <w:rPr>
          <w:w w:val="95"/>
        </w:rPr>
        <w:t>个，且各</w:t>
      </w:r>
      <w:r>
        <w:rPr>
          <w:w w:val="95"/>
        </w:rPr>
        <w:t>类</w:t>
      </w:r>
      <w:r>
        <w:rPr>
          <w:w w:val="95"/>
        </w:rPr>
        <w:t>数</w:t>
      </w:r>
      <w:r>
        <w:rPr>
          <w:w w:val="95"/>
        </w:rPr>
        <w:t>据</w:t>
      </w:r>
      <w:r>
        <w:rPr>
          <w:w w:val="95"/>
        </w:rPr>
        <w:t>分</w:t>
      </w:r>
      <w:r>
        <w:rPr>
          <w:w w:val="95"/>
        </w:rPr>
        <w:t>散</w:t>
      </w:r>
      <w:r>
        <w:rPr>
          <w:w w:val="95"/>
        </w:rPr>
        <w:t>在</w:t>
      </w:r>
      <w:r>
        <w:rPr>
          <w:w w:val="95"/>
        </w:rPr>
        <w:t>全</w:t>
      </w:r>
      <w:r>
        <w:rPr>
          <w:w w:val="95"/>
        </w:rPr>
        <w:t>国</w:t>
      </w:r>
      <w:r>
        <w:rPr>
          <w:spacing w:val="-2"/>
          <w:w w:val="95"/>
        </w:rPr>
        <w:t> </w:t>
      </w:r>
      <w:r>
        <w:rPr>
          <w:rFonts w:ascii="Times New Roman" w:eastAsia="Times New Roman"/>
          <w:w w:val="95"/>
        </w:rPr>
        <w:t>31</w:t>
      </w:r>
      <w:r>
        <w:rPr>
          <w:rFonts w:ascii="Times New Roman" w:eastAsia="Times New Roman"/>
          <w:spacing w:val="40"/>
        </w:rPr>
        <w:t> </w:t>
      </w:r>
      <w:r>
        <w:rPr>
          <w:w w:val="95"/>
        </w:rPr>
        <w:t>个</w:t>
      </w:r>
      <w:r>
        <w:rPr>
          <w:w w:val="95"/>
        </w:rPr>
        <w:t>省</w:t>
      </w:r>
      <w:r>
        <w:rPr>
          <w:spacing w:val="-4"/>
          <w:w w:val="95"/>
        </w:rPr>
        <w:t> </w:t>
      </w:r>
      <w:r>
        <w:rPr>
          <w:rFonts w:ascii="Times New Roman" w:eastAsia="Times New Roman"/>
          <w:w w:val="95"/>
        </w:rPr>
        <w:t>300</w:t>
      </w:r>
      <w:r>
        <w:rPr>
          <w:spacing w:val="-4"/>
        </w:rPr>
        <w:t>余地级市、千万级网元之间，导致数据种类繁多，数据规范多样，且</w:t>
      </w:r>
      <w:r>
        <w:rPr>
          <w:spacing w:val="-2"/>
        </w:rPr>
        <w:t>各地数据质量参差不齐。</w:t>
      </w:r>
    </w:p>
    <w:p>
      <w:pPr>
        <w:pStyle w:val="Heading3"/>
        <w:numPr>
          <w:ilvl w:val="1"/>
          <w:numId w:val="15"/>
        </w:numPr>
        <w:tabs>
          <w:tab w:pos="2203" w:val="left" w:leader="none"/>
        </w:tabs>
        <w:spacing w:line="381" w:lineRule="exact" w:before="0" w:after="0"/>
        <w:ind w:left="2202" w:right="0" w:hanging="242"/>
        <w:jc w:val="left"/>
        <w:rPr>
          <w:rFonts w:ascii="Times New Roman" w:eastAsia="Times New Roman"/>
          <w:sz w:val="30"/>
        </w:rPr>
      </w:pPr>
      <w:r>
        <w:rPr>
          <w:w w:val="95"/>
        </w:rPr>
        <w:t>缺</w:t>
      </w:r>
      <w:r>
        <w:rPr>
          <w:w w:val="95"/>
        </w:rPr>
        <w:t>乏</w:t>
      </w:r>
      <w:r>
        <w:rPr>
          <w:w w:val="95"/>
        </w:rPr>
        <w:t>规</w:t>
      </w:r>
      <w:r>
        <w:rPr>
          <w:w w:val="95"/>
        </w:rPr>
        <w:t>范</w:t>
      </w:r>
      <w:r>
        <w:rPr>
          <w:w w:val="95"/>
        </w:rPr>
        <w:t>管</w:t>
      </w:r>
      <w:r>
        <w:rPr>
          <w:w w:val="95"/>
        </w:rPr>
        <w:t>理</w:t>
      </w:r>
      <w:r>
        <w:rPr>
          <w:w w:val="95"/>
        </w:rPr>
        <w:t>，</w:t>
      </w:r>
      <w:r>
        <w:rPr>
          <w:w w:val="95"/>
        </w:rPr>
        <w:t>各</w:t>
      </w:r>
      <w:r>
        <w:rPr>
          <w:w w:val="95"/>
        </w:rPr>
        <w:t>方</w:t>
      </w:r>
      <w:r>
        <w:rPr>
          <w:w w:val="95"/>
        </w:rPr>
        <w:t>利</w:t>
      </w:r>
      <w:r>
        <w:rPr>
          <w:w w:val="95"/>
        </w:rPr>
        <w:t>益</w:t>
      </w:r>
      <w:r>
        <w:rPr>
          <w:w w:val="95"/>
        </w:rPr>
        <w:t>割</w:t>
      </w:r>
      <w:r>
        <w:rPr>
          <w:w w:val="95"/>
        </w:rPr>
        <w:t>据</w:t>
      </w:r>
      <w:r>
        <w:rPr>
          <w:w w:val="95"/>
        </w:rPr>
        <w:t>，</w:t>
      </w:r>
      <w:r>
        <w:rPr>
          <w:w w:val="95"/>
        </w:rPr>
        <w:t>数</w:t>
      </w:r>
      <w:r>
        <w:rPr>
          <w:w w:val="95"/>
        </w:rPr>
        <w:t>据</w:t>
      </w:r>
      <w:r>
        <w:rPr>
          <w:w w:val="95"/>
        </w:rPr>
        <w:t>变</w:t>
      </w:r>
      <w:r>
        <w:rPr>
          <w:w w:val="95"/>
        </w:rPr>
        <w:t>现</w:t>
      </w:r>
      <w:r>
        <w:rPr>
          <w:w w:val="95"/>
        </w:rPr>
        <w:t>困</w:t>
      </w:r>
      <w:r>
        <w:rPr>
          <w:spacing w:val="-10"/>
          <w:w w:val="95"/>
        </w:rPr>
        <w:t>难</w:t>
      </w:r>
    </w:p>
    <w:p>
      <w:pPr>
        <w:pStyle w:val="BodyText"/>
        <w:spacing w:line="417" w:lineRule="auto" w:before="242"/>
        <w:ind w:left="1320" w:right="1037" w:firstLine="559"/>
      </w:pPr>
      <w:r>
        <w:rPr>
          <w:spacing w:val="-2"/>
        </w:rPr>
        <w:t>大数据资产管理初期，集团对数据问题缺乏规范的统一化管理，</w:t>
      </w:r>
      <w:r>
        <w:rPr>
          <w:spacing w:val="-2"/>
        </w:rPr>
        <w:t>故存在各省市、平台间的数据规范各不相同，技术标准不统一，管理</w:t>
      </w:r>
      <w:r>
        <w:rPr>
          <w:spacing w:val="-2"/>
        </w:rPr>
        <w:t> </w:t>
      </w:r>
      <w:r>
        <w:rPr>
          <w:spacing w:val="-2"/>
        </w:rPr>
        <w:t>机制不健全，信息安全和用户隐私保护风险大等诸多问题。再加上当 </w:t>
      </w:r>
      <w:r>
        <w:rPr>
          <w:spacing w:val="-2"/>
        </w:rPr>
        <w:t>时各级分公司尚未建立完备的大数据意识，导致各方利益割据，数据 </w:t>
      </w:r>
      <w:r>
        <w:rPr>
          <w:spacing w:val="-11"/>
        </w:rPr>
        <w:t>呈烟囱状形成数据孤岛，很难最大限度的释放数据价值实现数据变现。</w:t>
      </w:r>
    </w:p>
    <w:p>
      <w:pPr>
        <w:pStyle w:val="BodyText"/>
        <w:spacing w:line="358" w:lineRule="exact"/>
        <w:ind w:left="1879"/>
        <w:rPr>
          <w:rFonts w:ascii="黑体" w:eastAsia="黑体"/>
        </w:rPr>
      </w:pPr>
      <w:r>
        <w:rPr>
          <w:rFonts w:ascii="黑体" w:eastAsia="黑体"/>
          <w:spacing w:val="-4"/>
        </w:rPr>
        <w:t>【实践路径】</w:t>
      </w:r>
    </w:p>
    <w:p>
      <w:pPr>
        <w:pStyle w:val="Heading3"/>
        <w:numPr>
          <w:ilvl w:val="0"/>
          <w:numId w:val="16"/>
        </w:numPr>
        <w:tabs>
          <w:tab w:pos="2204" w:val="left" w:leader="none"/>
        </w:tabs>
        <w:spacing w:line="364" w:lineRule="auto" w:before="237" w:after="0"/>
        <w:ind w:left="1320" w:right="1323" w:firstLine="640"/>
        <w:jc w:val="left"/>
      </w:pPr>
      <w:r>
        <w:rPr>
          <w:spacing w:val="1"/>
          <w:w w:val="99"/>
        </w:rPr>
        <w:t>设立大数据专业化管理机构，建设两级数据保障责任</w:t>
      </w:r>
      <w:r>
        <w:rPr>
          <w:spacing w:val="2"/>
          <w:w w:val="99"/>
        </w:rPr>
        <w:t>体系</w:t>
      </w:r>
    </w:p>
    <w:p>
      <w:pPr>
        <w:pStyle w:val="BodyText"/>
        <w:spacing w:before="30"/>
        <w:ind w:left="1879"/>
      </w:pPr>
      <w:r>
        <w:rPr>
          <w:spacing w:val="-4"/>
        </w:rPr>
        <w:t>针对以上问题，中国电信从 </w:t>
      </w:r>
      <w:r>
        <w:rPr>
          <w:rFonts w:ascii="Times New Roman" w:eastAsia="Times New Roman"/>
        </w:rPr>
        <w:t>2013</w:t>
      </w:r>
      <w:r>
        <w:rPr>
          <w:rFonts w:ascii="Times New Roman" w:eastAsia="Times New Roman"/>
          <w:spacing w:val="-5"/>
        </w:rPr>
        <w:t> </w:t>
      </w:r>
      <w:r>
        <w:rPr>
          <w:spacing w:val="-1"/>
        </w:rPr>
        <w:t>年开始部署大数据工作，该项</w:t>
      </w:r>
    </w:p>
    <w:p>
      <w:pPr>
        <w:pStyle w:val="BodyText"/>
        <w:spacing w:before="5"/>
        <w:rPr>
          <w:sz w:val="22"/>
        </w:rPr>
      </w:pPr>
    </w:p>
    <w:p>
      <w:pPr>
        <w:spacing w:before="93"/>
        <w:ind w:left="1329" w:right="1325" w:firstLine="0"/>
        <w:jc w:val="center"/>
        <w:rPr>
          <w:rFonts w:ascii="Times New Roman"/>
          <w:sz w:val="18"/>
        </w:rPr>
      </w:pPr>
      <w:r>
        <w:rPr>
          <w:rFonts w:ascii="Times New Roman"/>
          <w:spacing w:val="-5"/>
          <w:sz w:val="18"/>
        </w:rPr>
        <w:t>52</w:t>
      </w:r>
    </w:p>
    <w:p>
      <w:pPr>
        <w:spacing w:after="0"/>
        <w:jc w:val="center"/>
        <w:rPr>
          <w:rFonts w:ascii="Times New Roman"/>
          <w:sz w:val="18"/>
        </w:rPr>
        <w:sectPr>
          <w:headerReference w:type="default" r:id="rId6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6"/>
        <w:jc w:val="both"/>
      </w:pPr>
      <w:r>
        <w:rPr>
          <w:spacing w:val="-7"/>
        </w:rPr>
        <w:t>工作作为一把手工程需要自上而下统一思想，所以我们在数据资产管</w:t>
      </w:r>
      <w:r>
        <w:rPr>
          <w:spacing w:val="-4"/>
        </w:rPr>
        <w:t>理前期，首先设立了大数据的专业机构，以及各类保障体系、流程和</w:t>
      </w:r>
      <w:r>
        <w:rPr>
          <w:spacing w:val="-2"/>
        </w:rPr>
        <w:t>规章制度，让大数据工作</w:t>
      </w:r>
      <w:r>
        <w:rPr>
          <w:rFonts w:ascii="Times New Roman" w:hAnsi="Times New Roman" w:eastAsia="Times New Roman"/>
          <w:spacing w:val="-2"/>
        </w:rPr>
        <w:t>“</w:t>
      </w:r>
      <w:r>
        <w:rPr>
          <w:spacing w:val="-2"/>
        </w:rPr>
        <w:t>有人管理，有章可循</w:t>
      </w:r>
      <w:r>
        <w:rPr>
          <w:rFonts w:ascii="Times New Roman" w:hAnsi="Times New Roman" w:eastAsia="Times New Roman"/>
          <w:spacing w:val="-2"/>
        </w:rPr>
        <w:t>”</w:t>
      </w:r>
      <w:r>
        <w:rPr>
          <w:spacing w:val="-2"/>
        </w:rPr>
        <w:t>。</w:t>
      </w:r>
    </w:p>
    <w:p>
      <w:pPr>
        <w:pStyle w:val="BodyText"/>
        <w:spacing w:line="417" w:lineRule="auto"/>
        <w:ind w:left="1320" w:right="1311" w:firstLine="559"/>
        <w:jc w:val="both"/>
      </w:pPr>
      <w:r>
        <w:rPr>
          <w:spacing w:val="-2"/>
        </w:rPr>
        <w:t>从整体上来说，数据资产管理工作分为集团和省</w:t>
      </w:r>
      <w:r>
        <w:rPr>
          <w:rFonts w:ascii="Times New Roman" w:eastAsia="Times New Roman"/>
          <w:spacing w:val="-2"/>
        </w:rPr>
        <w:t>/</w:t>
      </w:r>
      <w:r>
        <w:rPr>
          <w:spacing w:val="-2"/>
        </w:rPr>
        <w:t>专业公司两大</w:t>
      </w:r>
      <w:r>
        <w:rPr>
          <w:spacing w:val="-4"/>
        </w:rPr>
        <w:t>数据保障责任体系。在集团方面，为更好的经营大数据，建立政策和</w:t>
      </w:r>
      <w:r>
        <w:rPr>
          <w:spacing w:val="-9"/>
        </w:rPr>
        <w:t>环境保障，首先成立了数据管理委员，由委员会来把握全集团大数据</w:t>
      </w:r>
      <w:r>
        <w:rPr>
          <w:spacing w:val="-4"/>
        </w:rPr>
        <w:t>发展方向、决策重大事项。并下设专业管理部门，对数据资产管理和</w:t>
      </w:r>
      <w:r>
        <w:rPr>
          <w:spacing w:val="-4"/>
        </w:rPr>
        <w:t>大数据运营工作进行统筹管理，其中包括业务产品规划、管理规范制</w:t>
      </w:r>
      <w:r>
        <w:rPr>
          <w:spacing w:val="-4"/>
        </w:rPr>
        <w:t>定、需求应用统筹以及对外经营管控等工作。其中，云计算分公司作</w:t>
      </w:r>
      <w:r>
        <w:rPr>
          <w:spacing w:val="-11"/>
        </w:rPr>
        <w:t>为大数据集约运营单位，负责整个电信所有对外经营的集约大数据产</w:t>
      </w:r>
      <w:r>
        <w:rPr/>
        <w:t>品的开发、销售以及运营工作。而在二级保障体系中，各省</w:t>
      </w:r>
      <w:r>
        <w:rPr>
          <w:rFonts w:ascii="Times New Roman" w:eastAsia="Times New Roman"/>
        </w:rPr>
        <w:t>/</w:t>
      </w:r>
      <w:r>
        <w:rPr/>
        <w:t>专业公</w:t>
      </w:r>
      <w:r>
        <w:rPr>
          <w:spacing w:val="-2"/>
        </w:rPr>
        <w:t>司主要负责汇聚本省</w:t>
      </w:r>
      <w:r>
        <w:rPr>
          <w:rFonts w:ascii="Times New Roman" w:eastAsia="Times New Roman"/>
          <w:spacing w:val="-2"/>
        </w:rPr>
        <w:t>/</w:t>
      </w:r>
      <w:r>
        <w:rPr>
          <w:spacing w:val="-2"/>
        </w:rPr>
        <w:t>本公司各类数据以及保障数据质量。</w:t>
      </w:r>
    </w:p>
    <w:p>
      <w:pPr>
        <w:pStyle w:val="Heading3"/>
        <w:numPr>
          <w:ilvl w:val="0"/>
          <w:numId w:val="16"/>
        </w:numPr>
        <w:tabs>
          <w:tab w:pos="2203" w:val="left" w:leader="none"/>
        </w:tabs>
        <w:spacing w:line="381" w:lineRule="exact" w:before="0" w:after="0"/>
        <w:ind w:left="2202" w:right="0" w:hanging="242"/>
        <w:jc w:val="left"/>
      </w:pPr>
      <w:r>
        <w:rPr>
          <w:w w:val="95"/>
        </w:rPr>
        <w:t>盘</w:t>
      </w:r>
      <w:r>
        <w:rPr>
          <w:w w:val="95"/>
        </w:rPr>
        <w:t>点</w:t>
      </w:r>
      <w:r>
        <w:rPr>
          <w:w w:val="95"/>
        </w:rPr>
        <w:t>数</w:t>
      </w:r>
      <w:r>
        <w:rPr>
          <w:w w:val="95"/>
        </w:rPr>
        <w:t>据</w:t>
      </w:r>
      <w:r>
        <w:rPr>
          <w:w w:val="95"/>
        </w:rPr>
        <w:t>资</w:t>
      </w:r>
      <w:r>
        <w:rPr>
          <w:w w:val="95"/>
        </w:rPr>
        <w:t>产</w:t>
      </w:r>
      <w:r>
        <w:rPr>
          <w:w w:val="95"/>
        </w:rPr>
        <w:t>，</w:t>
      </w:r>
      <w:r>
        <w:rPr>
          <w:w w:val="95"/>
        </w:rPr>
        <w:t>统</w:t>
      </w:r>
      <w:r>
        <w:rPr>
          <w:w w:val="95"/>
        </w:rPr>
        <w:t>一</w:t>
      </w:r>
      <w:r>
        <w:rPr>
          <w:w w:val="95"/>
        </w:rPr>
        <w:t>数</w:t>
      </w:r>
      <w:r>
        <w:rPr>
          <w:w w:val="95"/>
        </w:rPr>
        <w:t>据</w:t>
      </w:r>
      <w:r>
        <w:rPr>
          <w:w w:val="95"/>
        </w:rPr>
        <w:t>标</w:t>
      </w:r>
      <w:r>
        <w:rPr>
          <w:w w:val="95"/>
        </w:rPr>
        <w:t>准</w:t>
      </w:r>
      <w:r>
        <w:rPr>
          <w:w w:val="95"/>
        </w:rPr>
        <w:t>，</w:t>
      </w:r>
      <w:r>
        <w:rPr>
          <w:w w:val="95"/>
        </w:rPr>
        <w:t>输</w:t>
      </w:r>
      <w:r>
        <w:rPr>
          <w:w w:val="95"/>
        </w:rPr>
        <w:t>出</w:t>
      </w:r>
      <w:r>
        <w:rPr>
          <w:w w:val="95"/>
        </w:rPr>
        <w:t>数</w:t>
      </w:r>
      <w:r>
        <w:rPr>
          <w:w w:val="95"/>
        </w:rPr>
        <w:t>据</w:t>
      </w:r>
      <w:r>
        <w:rPr>
          <w:w w:val="95"/>
        </w:rPr>
        <w:t>资</w:t>
      </w:r>
      <w:r>
        <w:rPr>
          <w:w w:val="95"/>
        </w:rPr>
        <w:t>产</w:t>
      </w:r>
      <w:r>
        <w:rPr>
          <w:spacing w:val="-5"/>
          <w:w w:val="95"/>
        </w:rPr>
        <w:t>目录</w:t>
      </w:r>
    </w:p>
    <w:p>
      <w:pPr>
        <w:pStyle w:val="BodyText"/>
        <w:spacing w:line="417" w:lineRule="auto" w:before="241"/>
        <w:ind w:left="1320" w:right="1314" w:firstLine="559"/>
        <w:jc w:val="both"/>
        <w:rPr>
          <w:rFonts w:ascii="Times New Roman" w:eastAsia="Times New Roman"/>
        </w:rPr>
      </w:pPr>
      <w:r>
        <w:rPr>
          <w:spacing w:val="-5"/>
        </w:rPr>
        <w:t>在有了专业机构后，我们对全网数据进行了深度盘点，并统一各</w:t>
      </w:r>
      <w:r>
        <w:rPr>
          <w:spacing w:val="-4"/>
        </w:rPr>
        <w:t>类数据标准，其中包括用户基本数据、行为数据、位置数据、终端数</w:t>
      </w:r>
      <w:r>
        <w:rPr>
          <w:spacing w:val="-11"/>
        </w:rPr>
        <w:t>据等数据。进而输出了整个中国电信的数据资产目录，对数据资产进</w:t>
      </w:r>
      <w:r>
        <w:rPr>
          <w:spacing w:val="-4"/>
        </w:rPr>
        <w:t>行归类、分层管理，使数据更便于沟通、交流、展示和使用。经过 </w:t>
      </w:r>
      <w:r>
        <w:rPr>
          <w:rFonts w:ascii="Times New Roman" w:eastAsia="Times New Roman"/>
          <w:spacing w:val="-10"/>
        </w:rPr>
        <w:t>3</w:t>
      </w:r>
    </w:p>
    <w:p>
      <w:pPr>
        <w:pStyle w:val="BodyText"/>
        <w:spacing w:line="417" w:lineRule="auto"/>
        <w:ind w:left="1320" w:right="1314"/>
        <w:jc w:val="both"/>
      </w:pPr>
      <w:r>
        <w:rPr/>
        <w:t>年的数据汇聚工作，目前已汇聚了</w:t>
      </w:r>
      <w:r>
        <w:rPr>
          <w:rFonts w:ascii="Times New Roman" w:hAnsi="Times New Roman" w:eastAsia="Times New Roman"/>
        </w:rPr>
        <w:t>“</w:t>
      </w:r>
      <w:r>
        <w:rPr/>
        <w:t>云管端</w:t>
      </w:r>
      <w:r>
        <w:rPr>
          <w:rFonts w:ascii="Times New Roman" w:hAnsi="Times New Roman" w:eastAsia="Times New Roman"/>
        </w:rPr>
        <w:t>”</w:t>
      </w:r>
      <w:r>
        <w:rPr>
          <w:spacing w:val="-12"/>
        </w:rPr>
        <w:t>共计 </w:t>
      </w:r>
      <w:r>
        <w:rPr>
          <w:rFonts w:ascii="Times New Roman" w:hAnsi="Times New Roman" w:eastAsia="Times New Roman"/>
        </w:rPr>
        <w:t>18</w:t>
      </w:r>
      <w:r>
        <w:rPr>
          <w:rFonts w:ascii="Times New Roman" w:hAnsi="Times New Roman" w:eastAsia="Times New Roman"/>
          <w:spacing w:val="12"/>
        </w:rPr>
        <w:t> </w:t>
      </w:r>
      <w:r>
        <w:rPr/>
        <w:t>类数据，数据接</w:t>
      </w:r>
      <w:r>
        <w:rPr>
          <w:w w:val="95"/>
        </w:rPr>
        <w:t>入</w:t>
      </w:r>
      <w:r>
        <w:rPr>
          <w:w w:val="95"/>
        </w:rPr>
        <w:t>总</w:t>
      </w:r>
      <w:r>
        <w:rPr>
          <w:w w:val="95"/>
        </w:rPr>
        <w:t>量</w:t>
      </w:r>
      <w:r>
        <w:rPr>
          <w:w w:val="95"/>
        </w:rPr>
        <w:t>达</w:t>
      </w:r>
      <w:r>
        <w:rPr>
          <w:w w:val="95"/>
        </w:rPr>
        <w:t> </w:t>
      </w:r>
      <w:r>
        <w:rPr>
          <w:rFonts w:ascii="Times New Roman" w:hAnsi="Times New Roman" w:eastAsia="Times New Roman"/>
          <w:spacing w:val="23"/>
          <w:w w:val="95"/>
        </w:rPr>
        <w:t>30</w:t>
      </w:r>
      <w:r>
        <w:rPr>
          <w:rFonts w:ascii="Times New Roman" w:hAnsi="Times New Roman" w:eastAsia="Times New Roman"/>
          <w:spacing w:val="25"/>
          <w:w w:val="95"/>
        </w:rPr>
        <w:t>P</w:t>
      </w:r>
      <w:r>
        <w:rPr>
          <w:rFonts w:ascii="Times New Roman" w:hAnsi="Times New Roman" w:eastAsia="Times New Roman"/>
          <w:spacing w:val="22"/>
          <w:w w:val="95"/>
        </w:rPr>
        <w:t>B</w:t>
      </w:r>
      <w:r>
        <w:rPr>
          <w:spacing w:val="-93"/>
          <w:w w:val="95"/>
        </w:rPr>
        <w:t>，</w:t>
      </w:r>
      <w:r>
        <w:rPr>
          <w:w w:val="95"/>
        </w:rPr>
        <w:t>记</w:t>
      </w:r>
      <w:r>
        <w:rPr>
          <w:w w:val="95"/>
        </w:rPr>
        <w:t>录</w:t>
      </w:r>
      <w:r>
        <w:rPr>
          <w:w w:val="95"/>
        </w:rPr>
        <w:t>总</w:t>
      </w:r>
      <w:r>
        <w:rPr>
          <w:w w:val="95"/>
        </w:rPr>
        <w:t>条</w:t>
      </w:r>
      <w:r>
        <w:rPr>
          <w:w w:val="95"/>
        </w:rPr>
        <w:t>数</w:t>
      </w:r>
      <w:r>
        <w:rPr>
          <w:w w:val="95"/>
        </w:rPr>
        <w:t>达</w:t>
      </w:r>
      <w:r>
        <w:rPr>
          <w:w w:val="95"/>
        </w:rPr>
        <w:t> </w:t>
      </w:r>
      <w:r>
        <w:rPr>
          <w:rFonts w:ascii="Times New Roman" w:hAnsi="Times New Roman" w:eastAsia="Times New Roman"/>
          <w:w w:val="95"/>
        </w:rPr>
        <w:t>370</w:t>
      </w:r>
      <w:r>
        <w:rPr>
          <w:rFonts w:ascii="Times New Roman" w:hAnsi="Times New Roman" w:eastAsia="Times New Roman"/>
          <w:spacing w:val="40"/>
        </w:rPr>
        <w:t> </w:t>
      </w:r>
      <w:r>
        <w:rPr>
          <w:w w:val="95"/>
        </w:rPr>
        <w:t>万</w:t>
      </w:r>
      <w:r>
        <w:rPr>
          <w:w w:val="95"/>
        </w:rPr>
        <w:t>亿</w:t>
      </w:r>
      <w:r>
        <w:rPr>
          <w:w w:val="95"/>
        </w:rPr>
        <w:t>余</w:t>
      </w:r>
      <w:r>
        <w:rPr>
          <w:w w:val="95"/>
        </w:rPr>
        <w:t>条</w:t>
      </w:r>
      <w:r>
        <w:rPr>
          <w:spacing w:val="-59"/>
          <w:w w:val="95"/>
        </w:rPr>
        <w:t>，并</w:t>
      </w:r>
      <w:r>
        <w:rPr>
          <w:w w:val="95"/>
        </w:rPr>
        <w:t>且</w:t>
      </w:r>
      <w:r>
        <w:rPr>
          <w:w w:val="95"/>
        </w:rPr>
        <w:t>还</w:t>
      </w:r>
      <w:r>
        <w:rPr>
          <w:w w:val="95"/>
        </w:rPr>
        <w:t>在</w:t>
      </w:r>
      <w:r>
        <w:rPr>
          <w:w w:val="95"/>
        </w:rPr>
        <w:t>以</w:t>
      </w:r>
      <w:r>
        <w:rPr>
          <w:w w:val="95"/>
        </w:rPr>
        <w:t>日</w:t>
      </w:r>
      <w:r>
        <w:rPr>
          <w:w w:val="95"/>
        </w:rPr>
        <w:t>均</w:t>
      </w:r>
      <w:r>
        <w:rPr>
          <w:w w:val="95"/>
        </w:rPr>
        <w:t> </w:t>
      </w:r>
      <w:r>
        <w:rPr>
          <w:rFonts w:ascii="Times New Roman" w:hAnsi="Times New Roman" w:eastAsia="Times New Roman"/>
          <w:w w:val="95"/>
        </w:rPr>
        <w:t>200TB</w:t>
      </w:r>
      <w:r>
        <w:rPr>
          <w:spacing w:val="-2"/>
        </w:rPr>
        <w:t>的速度增长。</w:t>
      </w:r>
    </w:p>
    <w:p>
      <w:pPr>
        <w:pStyle w:val="Heading3"/>
        <w:numPr>
          <w:ilvl w:val="0"/>
          <w:numId w:val="16"/>
        </w:numPr>
        <w:tabs>
          <w:tab w:pos="2203" w:val="left" w:leader="none"/>
        </w:tabs>
        <w:spacing w:line="382" w:lineRule="exact" w:before="0" w:after="0"/>
        <w:ind w:left="2202" w:right="0" w:hanging="242"/>
        <w:jc w:val="left"/>
      </w:pPr>
      <w:r>
        <w:rPr>
          <w:w w:val="95"/>
        </w:rPr>
        <w:t>构建</w:t>
      </w:r>
      <w:r>
        <w:rPr>
          <w:rFonts w:ascii="Times New Roman" w:hAnsi="Times New Roman" w:eastAsia="Times New Roman"/>
          <w:w w:val="95"/>
        </w:rPr>
        <w:t>“</w:t>
      </w:r>
      <w:r>
        <w:rPr>
          <w:w w:val="95"/>
        </w:rPr>
        <w:t>条</w:t>
      </w:r>
      <w:r>
        <w:rPr>
          <w:w w:val="95"/>
        </w:rPr>
        <w:t>线</w:t>
      </w:r>
      <w:r>
        <w:rPr>
          <w:w w:val="95"/>
        </w:rPr>
        <w:t>汇</w:t>
      </w:r>
      <w:r>
        <w:rPr>
          <w:w w:val="95"/>
        </w:rPr>
        <w:t>聚</w:t>
      </w:r>
      <w:r>
        <w:rPr>
          <w:w w:val="95"/>
        </w:rPr>
        <w:t>，</w:t>
      </w:r>
      <w:r>
        <w:rPr>
          <w:w w:val="95"/>
        </w:rPr>
        <w:t>一</w:t>
      </w:r>
      <w:r>
        <w:rPr>
          <w:w w:val="95"/>
        </w:rPr>
        <w:t>点</w:t>
      </w:r>
      <w:r>
        <w:rPr>
          <w:w w:val="95"/>
        </w:rPr>
        <w:t>集中</w:t>
      </w:r>
      <w:r>
        <w:rPr>
          <w:rFonts w:ascii="Times New Roman" w:hAnsi="Times New Roman" w:eastAsia="Times New Roman"/>
          <w:w w:val="95"/>
        </w:rPr>
        <w:t>”</w:t>
      </w:r>
      <w:r>
        <w:rPr>
          <w:w w:val="95"/>
        </w:rPr>
        <w:t>的数据</w:t>
      </w:r>
      <w:r>
        <w:rPr>
          <w:w w:val="95"/>
        </w:rPr>
        <w:t>采</w:t>
      </w:r>
      <w:r>
        <w:rPr>
          <w:w w:val="95"/>
        </w:rPr>
        <w:t>集</w:t>
      </w:r>
      <w:r>
        <w:rPr>
          <w:w w:val="95"/>
        </w:rPr>
        <w:t>汇</w:t>
      </w:r>
      <w:r>
        <w:rPr>
          <w:w w:val="95"/>
        </w:rPr>
        <w:t>聚</w:t>
      </w:r>
      <w:r>
        <w:rPr>
          <w:w w:val="95"/>
        </w:rPr>
        <w:t>体</w:t>
      </w:r>
      <w:r>
        <w:rPr>
          <w:spacing w:val="-10"/>
          <w:w w:val="95"/>
        </w:rPr>
        <w:t>系</w:t>
      </w:r>
    </w:p>
    <w:p>
      <w:pPr>
        <w:pStyle w:val="BodyText"/>
        <w:spacing w:before="241"/>
        <w:ind w:left="1879"/>
      </w:pPr>
      <w:r>
        <w:rPr>
          <w:spacing w:val="-2"/>
        </w:rPr>
        <w:t>我们将盘点后的数据资产按照数据来源和属性共分为 </w:t>
      </w:r>
      <w:r>
        <w:rPr>
          <w:rFonts w:ascii="Times New Roman" w:eastAsia="Times New Roman"/>
        </w:rPr>
        <w:t>IT</w:t>
      </w:r>
      <w:r>
        <w:rPr>
          <w:rFonts w:ascii="Times New Roman" w:eastAsia="Times New Roman"/>
          <w:spacing w:val="6"/>
        </w:rPr>
        <w:t> </w:t>
      </w:r>
      <w:r>
        <w:rPr>
          <w:spacing w:val="-4"/>
        </w:rPr>
        <w:t>数据、</w:t>
      </w:r>
    </w:p>
    <w:p>
      <w:pPr>
        <w:pStyle w:val="BodyText"/>
        <w:rPr>
          <w:sz w:val="20"/>
        </w:rPr>
      </w:pPr>
    </w:p>
    <w:p>
      <w:pPr>
        <w:pStyle w:val="BodyText"/>
        <w:spacing w:before="6"/>
        <w:rPr>
          <w:sz w:val="19"/>
        </w:rPr>
      </w:pPr>
    </w:p>
    <w:p>
      <w:pPr>
        <w:spacing w:before="92"/>
        <w:ind w:left="1329" w:right="1325" w:firstLine="0"/>
        <w:jc w:val="center"/>
        <w:rPr>
          <w:rFonts w:ascii="Times New Roman"/>
          <w:sz w:val="18"/>
        </w:rPr>
      </w:pPr>
      <w:r>
        <w:rPr>
          <w:rFonts w:ascii="Times New Roman"/>
          <w:spacing w:val="-5"/>
          <w:sz w:val="18"/>
        </w:rPr>
        <w:t>53</w:t>
      </w:r>
    </w:p>
    <w:p>
      <w:pPr>
        <w:spacing w:after="0"/>
        <w:jc w:val="center"/>
        <w:rPr>
          <w:rFonts w:ascii="Times New Roman"/>
          <w:sz w:val="18"/>
        </w:rPr>
        <w:sectPr>
          <w:headerReference w:type="default" r:id="rId70"/>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jc w:val="both"/>
      </w:pPr>
      <w:r>
        <w:rPr>
          <w:spacing w:val="-4"/>
        </w:rPr>
        <w:t>网络数据、增值业务数据和创新数据四大类。如上所述，这些数据分</w:t>
      </w:r>
      <w:r>
        <w:rPr>
          <w:spacing w:val="-4"/>
        </w:rPr>
        <w:t>布在各个省公司和专业公司之间，且平台分布也很广泛，所以我们按</w:t>
      </w:r>
      <w:r>
        <w:rPr>
          <w:spacing w:val="-6"/>
        </w:rPr>
        <w:t>照数据的属性对不同的数据类型采取了不同的采集策略。最终将采集</w:t>
      </w:r>
      <w:r>
        <w:rPr>
          <w:spacing w:val="-2"/>
        </w:rPr>
        <w:t>到的数据集中存储在集团大数据汇聚平台以供后续使用。</w:t>
      </w:r>
    </w:p>
    <w:p>
      <w:pPr>
        <w:pStyle w:val="Heading3"/>
        <w:numPr>
          <w:ilvl w:val="0"/>
          <w:numId w:val="16"/>
        </w:numPr>
        <w:tabs>
          <w:tab w:pos="2204" w:val="left" w:leader="none"/>
        </w:tabs>
        <w:spacing w:line="381" w:lineRule="exact" w:before="0" w:after="0"/>
        <w:ind w:left="2203" w:right="0" w:hanging="1569"/>
        <w:jc w:val="left"/>
      </w:pPr>
      <w:r>
        <w:rPr>
          <w:spacing w:val="-1"/>
          <w:w w:val="95"/>
        </w:rPr>
        <w:t>建设大数据能力平台，整合与提升大数据平台服务能</w:t>
      </w:r>
    </w:p>
    <w:p>
      <w:pPr>
        <w:pStyle w:val="BodyText"/>
        <w:spacing w:before="5"/>
        <w:rPr>
          <w:rFonts w:ascii="楷体"/>
          <w:sz w:val="12"/>
        </w:rPr>
      </w:pPr>
    </w:p>
    <w:p>
      <w:pPr>
        <w:spacing w:before="55"/>
        <w:ind w:left="1320" w:right="0" w:firstLine="0"/>
        <w:jc w:val="left"/>
        <w:rPr>
          <w:rFonts w:ascii="楷体" w:eastAsia="楷体"/>
          <w:sz w:val="32"/>
        </w:rPr>
      </w:pPr>
      <w:r>
        <w:rPr>
          <w:rFonts w:ascii="楷体" w:eastAsia="楷体"/>
          <w:w w:val="99"/>
          <w:sz w:val="32"/>
        </w:rPr>
        <w:t>力</w:t>
      </w:r>
    </w:p>
    <w:p>
      <w:pPr>
        <w:pStyle w:val="BodyText"/>
        <w:spacing w:before="1"/>
        <w:rPr>
          <w:rFonts w:ascii="楷体"/>
          <w:sz w:val="14"/>
        </w:rPr>
      </w:pPr>
    </w:p>
    <w:p>
      <w:pPr>
        <w:pStyle w:val="BodyText"/>
        <w:spacing w:line="417" w:lineRule="auto" w:before="62"/>
        <w:ind w:left="1320" w:right="1178" w:firstLine="559"/>
        <w:jc w:val="both"/>
      </w:pPr>
      <w:r>
        <w:rPr>
          <w:spacing w:val="-2"/>
        </w:rPr>
        <w:t>根据业务数据量、数据存储周期、数据保存副本、数据存储压缩</w:t>
      </w:r>
      <w:r>
        <w:rPr>
          <w:spacing w:val="-2"/>
        </w:rPr>
        <w:t>以及业务处理分析的需求，评估了大数据平台的建设规模。根据评估</w:t>
      </w:r>
      <w:r>
        <w:rPr>
          <w:spacing w:val="-2"/>
        </w:rPr>
        <w:t>后的规模进行集群设备选型、网络设计、基础环境准备，完成集群基</w:t>
      </w:r>
      <w:r>
        <w:rPr>
          <w:spacing w:val="-1"/>
        </w:rPr>
        <w:t>础环境的部署。最后，合理规划建设了成熟稳定的大数据能力平台。</w:t>
      </w:r>
    </w:p>
    <w:p>
      <w:pPr>
        <w:pStyle w:val="BodyText"/>
        <w:spacing w:line="417" w:lineRule="auto"/>
        <w:ind w:left="1320" w:right="1176" w:firstLine="559"/>
      </w:pPr>
      <w:r>
        <w:rPr>
          <w:spacing w:val="-7"/>
        </w:rPr>
        <w:t>大数据能力平台采用 </w:t>
      </w:r>
      <w:r>
        <w:rPr>
          <w:rFonts w:ascii="Times New Roman" w:eastAsia="Times New Roman"/>
        </w:rPr>
        <w:t>2+31+X</w:t>
      </w:r>
      <w:r>
        <w:rPr>
          <w:rFonts w:ascii="Times New Roman" w:eastAsia="Times New Roman"/>
          <w:spacing w:val="-18"/>
        </w:rPr>
        <w:t> </w:t>
      </w:r>
      <w:r>
        <w:rPr>
          <w:spacing w:val="-20"/>
        </w:rPr>
        <w:t>的全国资源布局，共计 </w:t>
      </w:r>
      <w:r>
        <w:rPr>
          <w:rFonts w:ascii="Times New Roman" w:eastAsia="Times New Roman"/>
        </w:rPr>
        <w:t>4000+</w:t>
      </w:r>
      <w:r>
        <w:rPr/>
        <w:t>节点，</w:t>
      </w:r>
      <w:r>
        <w:rPr>
          <w:spacing w:val="-3"/>
        </w:rPr>
        <w:t>日数据实时分析处理能力达到 </w:t>
      </w:r>
      <w:r>
        <w:rPr>
          <w:rFonts w:ascii="Times New Roman" w:eastAsia="Times New Roman"/>
        </w:rPr>
        <w:t>200TB</w:t>
      </w:r>
      <w:r>
        <w:rPr>
          <w:spacing w:val="-11"/>
        </w:rPr>
        <w:t>。大数据能力平台的建设帮助实</w:t>
      </w:r>
      <w:r>
        <w:rPr>
          <w:spacing w:val="-4"/>
        </w:rPr>
        <w:t>现数据的规范管理、安全存储以及高效便捷的数据分析处理需求，是</w:t>
      </w:r>
      <w:r>
        <w:rPr>
          <w:spacing w:val="-2"/>
        </w:rPr>
        <w:t>提升数据价值、实现数据开放共享的基础，更实现了对内支撑全网数</w:t>
      </w:r>
      <w:r>
        <w:rPr>
          <w:spacing w:val="-2"/>
        </w:rPr>
        <w:t>据资产管理，对外服务外部客户应用的基本目标。</w:t>
      </w:r>
    </w:p>
    <w:p>
      <w:pPr>
        <w:pStyle w:val="Heading3"/>
        <w:numPr>
          <w:ilvl w:val="0"/>
          <w:numId w:val="16"/>
        </w:numPr>
        <w:tabs>
          <w:tab w:pos="2204" w:val="left" w:leader="none"/>
        </w:tabs>
        <w:spacing w:line="381" w:lineRule="exact" w:before="0" w:after="0"/>
        <w:ind w:left="2203" w:right="0" w:hanging="1565"/>
        <w:jc w:val="left"/>
      </w:pPr>
      <w:r>
        <w:rPr>
          <w:spacing w:val="-1"/>
          <w:w w:val="95"/>
        </w:rPr>
        <w:t>打造完整数据资产管理体系，深挖数据价值，形成数</w:t>
      </w:r>
    </w:p>
    <w:p>
      <w:pPr>
        <w:spacing w:before="213"/>
        <w:ind w:left="1320" w:right="0" w:firstLine="0"/>
        <w:jc w:val="left"/>
        <w:rPr>
          <w:rFonts w:ascii="楷体" w:eastAsia="楷体"/>
          <w:sz w:val="32"/>
        </w:rPr>
      </w:pPr>
      <w:r>
        <w:rPr>
          <w:rFonts w:ascii="楷体" w:eastAsia="楷体"/>
          <w:w w:val="95"/>
          <w:sz w:val="32"/>
        </w:rPr>
        <w:t>据</w:t>
      </w:r>
      <w:r>
        <w:rPr>
          <w:rFonts w:ascii="楷体" w:eastAsia="楷体"/>
          <w:w w:val="95"/>
          <w:sz w:val="32"/>
        </w:rPr>
        <w:t>能</w:t>
      </w:r>
      <w:r>
        <w:rPr>
          <w:rFonts w:ascii="楷体" w:eastAsia="楷体"/>
          <w:spacing w:val="-10"/>
          <w:w w:val="95"/>
          <w:sz w:val="32"/>
        </w:rPr>
        <w:t>力</w:t>
      </w:r>
    </w:p>
    <w:p>
      <w:pPr>
        <w:pStyle w:val="BodyText"/>
        <w:spacing w:line="417" w:lineRule="auto" w:before="242"/>
        <w:ind w:left="1320" w:right="1040" w:firstLine="559"/>
      </w:pPr>
      <w:r>
        <w:rPr>
          <w:spacing w:val="-12"/>
        </w:rPr>
        <w:t>通过数据预处理、数据能力沉淀和数据封装三项工作的流转配合，</w:t>
      </w:r>
      <w:r>
        <w:rPr>
          <w:spacing w:val="-2"/>
        </w:rPr>
        <w:t>打造完整的数据资产管理体系。即对原始数据进行对账、合规评估、</w:t>
      </w:r>
      <w:r>
        <w:rPr/>
        <w:t>数据清洗、数据水印、数据脱敏、数据 </w:t>
      </w:r>
      <w:r>
        <w:rPr>
          <w:rFonts w:ascii="Times New Roman" w:eastAsia="Times New Roman"/>
        </w:rPr>
        <w:t>ETL</w:t>
      </w:r>
      <w:r>
        <w:rPr>
          <w:rFonts w:ascii="Times New Roman" w:eastAsia="Times New Roman"/>
          <w:spacing w:val="44"/>
        </w:rPr>
        <w:t> </w:t>
      </w:r>
      <w:r>
        <w:rPr/>
        <w:t>六项工作，使数据成为 </w:t>
      </w:r>
      <w:r>
        <w:rPr>
          <w:spacing w:val="-2"/>
        </w:rPr>
        <w:t>可用的清单级数据。再将清单级数据进行逻辑关联，最终形成大数据</w:t>
      </w:r>
      <w:r>
        <w:rPr>
          <w:spacing w:val="-2"/>
        </w:rPr>
        <w:t> </w:t>
      </w:r>
      <w:r>
        <w:rPr>
          <w:spacing w:val="-9"/>
        </w:rPr>
        <w:t>宽表体系，通过数据封装为大数据宽表体系开发服务接口，最后通过</w:t>
      </w:r>
    </w:p>
    <w:p>
      <w:pPr>
        <w:spacing w:before="114"/>
        <w:ind w:left="1329" w:right="1325" w:firstLine="0"/>
        <w:jc w:val="center"/>
        <w:rPr>
          <w:rFonts w:ascii="Times New Roman"/>
          <w:sz w:val="18"/>
        </w:rPr>
      </w:pPr>
      <w:r>
        <w:rPr>
          <w:rFonts w:ascii="Times New Roman"/>
          <w:spacing w:val="-5"/>
          <w:sz w:val="18"/>
        </w:rPr>
        <w:t>54</w:t>
      </w:r>
    </w:p>
    <w:p>
      <w:pPr>
        <w:spacing w:after="0"/>
        <w:jc w:val="center"/>
        <w:rPr>
          <w:rFonts w:ascii="Times New Roman"/>
          <w:sz w:val="18"/>
        </w:rPr>
        <w:sectPr>
          <w:headerReference w:type="default" r:id="rId71"/>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5"/>
        <w:jc w:val="both"/>
      </w:pPr>
      <w:r>
        <w:rPr>
          <w:spacing w:val="-6"/>
        </w:rPr>
        <w:t>各类融合加工形成数据产品。整个数据生产流程通过前向稽核、后向</w:t>
      </w:r>
      <w:r>
        <w:rPr>
          <w:spacing w:val="-6"/>
        </w:rPr>
        <w:t>治理两个策略实现了对数据的治理，使数据具备对外提供服务，对内</w:t>
      </w:r>
      <w:r>
        <w:rPr>
          <w:spacing w:val="-13"/>
        </w:rPr>
        <w:t>支撑运营的能力。与此同时，实现数据质量的实时监控与数据服务能</w:t>
      </w:r>
      <w:r>
        <w:rPr>
          <w:spacing w:val="-2"/>
        </w:rPr>
        <w:t>力的统一，最终为数据开放共享、最大化数据价值提供基础。</w:t>
      </w:r>
    </w:p>
    <w:p>
      <w:pPr>
        <w:pStyle w:val="Heading3"/>
        <w:numPr>
          <w:ilvl w:val="0"/>
          <w:numId w:val="16"/>
        </w:numPr>
        <w:tabs>
          <w:tab w:pos="2204" w:val="left" w:leader="none"/>
        </w:tabs>
        <w:spacing w:line="381" w:lineRule="exact" w:before="0" w:after="0"/>
        <w:ind w:left="2203" w:right="0" w:hanging="243"/>
        <w:jc w:val="left"/>
      </w:pPr>
      <w:r>
        <w:rPr>
          <w:spacing w:val="-1"/>
          <w:w w:val="95"/>
        </w:rPr>
        <w:t>制定开放共享策略，保障数据使用安全，促进行业数</w:t>
      </w:r>
    </w:p>
    <w:p>
      <w:pPr>
        <w:spacing w:before="214"/>
        <w:ind w:left="1320" w:right="0" w:firstLine="0"/>
        <w:jc w:val="left"/>
        <w:rPr>
          <w:rFonts w:ascii="楷体" w:eastAsia="楷体"/>
          <w:sz w:val="32"/>
        </w:rPr>
      </w:pPr>
      <w:r>
        <w:rPr>
          <w:rFonts w:ascii="楷体" w:eastAsia="楷体"/>
          <w:w w:val="95"/>
          <w:sz w:val="32"/>
        </w:rPr>
        <w:t>据</w:t>
      </w:r>
      <w:r>
        <w:rPr>
          <w:rFonts w:ascii="楷体" w:eastAsia="楷体"/>
          <w:w w:val="95"/>
          <w:sz w:val="32"/>
        </w:rPr>
        <w:t>融</w:t>
      </w:r>
      <w:r>
        <w:rPr>
          <w:rFonts w:ascii="楷体" w:eastAsia="楷体"/>
          <w:spacing w:val="-10"/>
          <w:w w:val="95"/>
          <w:sz w:val="32"/>
        </w:rPr>
        <w:t>合</w:t>
      </w:r>
    </w:p>
    <w:p>
      <w:pPr>
        <w:pStyle w:val="BodyText"/>
        <w:spacing w:line="417" w:lineRule="auto" w:before="242"/>
        <w:ind w:left="1320" w:right="1314" w:firstLine="559"/>
        <w:jc w:val="both"/>
      </w:pPr>
      <w:r>
        <w:rPr>
          <w:spacing w:val="-9"/>
        </w:rPr>
        <w:t>数据能力形成后，根据数据属性以及对数据的需求，制定数据开</w:t>
      </w:r>
      <w:r>
        <w:rPr>
          <w:spacing w:val="-4"/>
        </w:rPr>
        <w:t>放共享机制，并围绕共享开放进一步梳理数据资源，制定共享开放数</w:t>
      </w:r>
      <w:r>
        <w:rPr>
          <w:spacing w:val="-4"/>
        </w:rPr>
        <w:t>据目录，明确各类数据的共享开放形式和对象，形成体系化、可操作</w:t>
      </w:r>
      <w:r>
        <w:rPr>
          <w:spacing w:val="-4"/>
        </w:rPr>
        <w:t>的数据开放共享管理办法。让数据开放共享工作变得有章可依，形成</w:t>
      </w:r>
      <w:r>
        <w:rPr>
          <w:spacing w:val="-2"/>
        </w:rPr>
        <w:t>常态化的工作机制保障。</w:t>
      </w:r>
    </w:p>
    <w:p>
      <w:pPr>
        <w:pStyle w:val="BodyText"/>
        <w:spacing w:line="417" w:lineRule="auto"/>
        <w:ind w:left="1320" w:right="1176" w:firstLine="559"/>
      </w:pPr>
      <w:r>
        <w:rPr>
          <w:spacing w:val="-2"/>
        </w:rPr>
        <w:t>制定</w:t>
      </w:r>
      <w:r>
        <w:rPr>
          <w:rFonts w:ascii="Times New Roman" w:hAnsi="Times New Roman" w:eastAsia="Times New Roman"/>
          <w:spacing w:val="-2"/>
        </w:rPr>
        <w:t>“</w:t>
      </w:r>
      <w:r>
        <w:rPr>
          <w:spacing w:val="-2"/>
        </w:rPr>
        <w:t>五分一统</w:t>
      </w:r>
      <w:r>
        <w:rPr>
          <w:rFonts w:ascii="Times New Roman" w:hAnsi="Times New Roman" w:eastAsia="Times New Roman"/>
          <w:spacing w:val="-2"/>
        </w:rPr>
        <w:t>”</w:t>
      </w:r>
      <w:r>
        <w:rPr>
          <w:spacing w:val="-19"/>
        </w:rPr>
        <w:t>的数据开放共享策略，通过分类</w:t>
      </w:r>
      <w:r>
        <w:rPr>
          <w:spacing w:val="-2"/>
        </w:rPr>
        <w:t>（明确数据种类，</w:t>
      </w:r>
      <w:r>
        <w:rPr>
          <w:spacing w:val="-2"/>
        </w:rPr>
        <w:t>分类开放</w:t>
      </w:r>
      <w:r>
        <w:rPr>
          <w:spacing w:val="-140"/>
        </w:rPr>
        <w:t>）</w:t>
      </w:r>
      <w:r>
        <w:rPr>
          <w:spacing w:val="-2"/>
        </w:rPr>
        <w:t>、分级（评估数据价值，明确开放级别</w:t>
      </w:r>
      <w:r>
        <w:rPr>
          <w:spacing w:val="-140"/>
        </w:rPr>
        <w:t>）</w:t>
      </w:r>
      <w:r>
        <w:rPr>
          <w:spacing w:val="-2"/>
        </w:rPr>
        <w:t>、分形（明确数据</w:t>
      </w:r>
      <w:r>
        <w:rPr>
          <w:spacing w:val="-2"/>
        </w:rPr>
        <w:t>共享开放形式</w:t>
      </w:r>
      <w:r>
        <w:rPr>
          <w:spacing w:val="-140"/>
        </w:rPr>
        <w:t>）</w:t>
      </w:r>
      <w:r>
        <w:rPr>
          <w:spacing w:val="-2"/>
        </w:rPr>
        <w:t>、分步（评估数据需求，确定开放序列</w:t>
      </w:r>
      <w:r>
        <w:rPr>
          <w:spacing w:val="-140"/>
        </w:rPr>
        <w:t>）</w:t>
      </w:r>
      <w:r>
        <w:rPr>
          <w:spacing w:val="-2"/>
        </w:rPr>
        <w:t>、分权（契约</w:t>
      </w:r>
      <w:r>
        <w:rPr>
          <w:spacing w:val="-2"/>
        </w:rPr>
        <w:t>开放，信用开放</w:t>
      </w:r>
      <w:r>
        <w:rPr>
          <w:spacing w:val="-140"/>
        </w:rPr>
        <w:t>）</w:t>
      </w:r>
      <w:r>
        <w:rPr>
          <w:spacing w:val="-2"/>
        </w:rPr>
        <w:t>、一统（统一出口）的战略思想，明确各类数据的</w:t>
      </w:r>
      <w:r>
        <w:rPr>
          <w:spacing w:val="-2"/>
        </w:rPr>
        <w:t>共享开放形式和对象，针对数据开放共享涉及到的各个环节，采用相</w:t>
      </w:r>
      <w:r>
        <w:rPr>
          <w:spacing w:val="-2"/>
        </w:rPr>
        <w:t>应的安全保障手段，夯实数据开放共享的安全基础。</w:t>
      </w:r>
    </w:p>
    <w:p>
      <w:pPr>
        <w:pStyle w:val="Heading3"/>
        <w:numPr>
          <w:ilvl w:val="0"/>
          <w:numId w:val="16"/>
        </w:numPr>
        <w:tabs>
          <w:tab w:pos="2203" w:val="left" w:leader="none"/>
        </w:tabs>
        <w:spacing w:line="382" w:lineRule="exact" w:before="0" w:after="0"/>
        <w:ind w:left="2202" w:right="0" w:hanging="242"/>
        <w:jc w:val="left"/>
      </w:pPr>
      <w:r>
        <w:rPr>
          <w:w w:val="95"/>
        </w:rPr>
        <w:t>夯</w:t>
      </w:r>
      <w:r>
        <w:rPr>
          <w:w w:val="95"/>
        </w:rPr>
        <w:t>实</w:t>
      </w:r>
      <w:r>
        <w:rPr>
          <w:w w:val="95"/>
        </w:rPr>
        <w:t>运</w:t>
      </w:r>
      <w:r>
        <w:rPr>
          <w:w w:val="95"/>
        </w:rPr>
        <w:t>营</w:t>
      </w:r>
      <w:r>
        <w:rPr>
          <w:w w:val="95"/>
        </w:rPr>
        <w:t>基</w:t>
      </w:r>
      <w:r>
        <w:rPr>
          <w:w w:val="95"/>
        </w:rPr>
        <w:t>础</w:t>
      </w:r>
      <w:r>
        <w:rPr>
          <w:w w:val="95"/>
        </w:rPr>
        <w:t>，</w:t>
      </w:r>
      <w:r>
        <w:rPr>
          <w:w w:val="95"/>
        </w:rPr>
        <w:t>建</w:t>
      </w:r>
      <w:r>
        <w:rPr>
          <w:w w:val="95"/>
        </w:rPr>
        <w:t>设</w:t>
      </w:r>
      <w:r>
        <w:rPr>
          <w:w w:val="95"/>
        </w:rPr>
        <w:t>综</w:t>
      </w:r>
      <w:r>
        <w:rPr>
          <w:w w:val="95"/>
        </w:rPr>
        <w:t>合</w:t>
      </w:r>
      <w:r>
        <w:rPr>
          <w:w w:val="95"/>
        </w:rPr>
        <w:t>运</w:t>
      </w:r>
      <w:r>
        <w:rPr>
          <w:w w:val="95"/>
        </w:rPr>
        <w:t>营</w:t>
      </w:r>
      <w:r>
        <w:rPr>
          <w:spacing w:val="-5"/>
          <w:w w:val="95"/>
        </w:rPr>
        <w:t>体系</w:t>
      </w:r>
    </w:p>
    <w:p>
      <w:pPr>
        <w:pStyle w:val="BodyText"/>
        <w:spacing w:line="417" w:lineRule="auto" w:before="241"/>
        <w:ind w:left="1320" w:right="1316" w:firstLine="559"/>
        <w:jc w:val="both"/>
      </w:pPr>
      <w:r>
        <w:rPr>
          <w:spacing w:val="-4"/>
        </w:rPr>
        <w:t>实现大数据体系良性运转，需要强大的运营能力支撑。从而，中</w:t>
      </w:r>
      <w:r>
        <w:rPr>
          <w:spacing w:val="-4"/>
        </w:rPr>
        <w:t>国电信围绕客户需求，建设了综合运营体系，以数据运营、平台运营</w:t>
      </w:r>
      <w:r>
        <w:rPr>
          <w:spacing w:val="-11"/>
        </w:rPr>
        <w:t>和产品运营为基本核心，不断优化和更新中国电信大数据产品的基础</w:t>
      </w:r>
      <w:r>
        <w:rPr>
          <w:spacing w:val="-7"/>
        </w:rPr>
        <w:t>能力以及产品模型，使数据发挥最大的价值，同时实现用户价值最大</w:t>
      </w:r>
    </w:p>
    <w:p>
      <w:pPr>
        <w:pStyle w:val="BodyText"/>
        <w:spacing w:before="9"/>
        <w:rPr>
          <w:sz w:val="18"/>
        </w:rPr>
      </w:pPr>
    </w:p>
    <w:p>
      <w:pPr>
        <w:spacing w:before="92"/>
        <w:ind w:left="1329" w:right="1325" w:firstLine="0"/>
        <w:jc w:val="center"/>
        <w:rPr>
          <w:rFonts w:ascii="Times New Roman"/>
          <w:sz w:val="18"/>
        </w:rPr>
      </w:pPr>
      <w:r>
        <w:rPr>
          <w:rFonts w:ascii="Times New Roman"/>
          <w:spacing w:val="-5"/>
          <w:sz w:val="18"/>
        </w:rPr>
        <w:t>55</w:t>
      </w:r>
    </w:p>
    <w:p>
      <w:pPr>
        <w:spacing w:after="0"/>
        <w:jc w:val="center"/>
        <w:rPr>
          <w:rFonts w:ascii="Times New Roman"/>
          <w:sz w:val="18"/>
        </w:rPr>
        <w:sectPr>
          <w:headerReference w:type="default" r:id="rId72"/>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5"/>
        </w:rPr>
        <w:t>化。</w:t>
      </w:r>
    </w:p>
    <w:p>
      <w:pPr>
        <w:pStyle w:val="BodyText"/>
        <w:spacing w:before="8"/>
        <w:rPr>
          <w:sz w:val="20"/>
        </w:rPr>
      </w:pPr>
    </w:p>
    <w:p>
      <w:pPr>
        <w:pStyle w:val="BodyText"/>
        <w:spacing w:line="417" w:lineRule="auto" w:before="1"/>
        <w:ind w:left="1320" w:right="1313" w:firstLine="559"/>
        <w:jc w:val="both"/>
      </w:pPr>
      <w:r>
        <w:rPr>
          <w:spacing w:val="-4"/>
        </w:rPr>
        <w:t>其中，数据运营通过建立需求管理、血缘管理、质量监控、价值</w:t>
      </w:r>
      <w:r>
        <w:rPr>
          <w:spacing w:val="-7"/>
        </w:rPr>
        <w:t>管理四大工作流程持续建设改进数据综合能力，并在此基础上巩固数</w:t>
      </w:r>
      <w:r>
        <w:rPr>
          <w:spacing w:val="-4"/>
        </w:rPr>
        <w:t>据资产目录以及数据血缘管理，使数据有据可依，有源可溯；平台运</w:t>
      </w:r>
      <w:r>
        <w:rPr>
          <w:spacing w:val="-13"/>
        </w:rPr>
        <w:t>营则从资源编排、作业调度、质量监控和价值管理四方面对平台运营</w:t>
      </w:r>
      <w:r>
        <w:rPr>
          <w:spacing w:val="-4"/>
        </w:rPr>
        <w:t>工作进行整体设计，确保平台稳定、高效地处理业务，进而成为产品</w:t>
      </w:r>
      <w:r>
        <w:rPr/>
        <w:t>运营和数据运营背后最有力的支撑； 大数据产品运营以客户需求为</w:t>
      </w:r>
      <w:r>
        <w:rPr>
          <w:spacing w:val="-4"/>
        </w:rPr>
        <w:t>核心，将客户服务、产品监控、运营分析和产品优化四项工作不断循</w:t>
      </w:r>
      <w:r>
        <w:rPr>
          <w:spacing w:val="-4"/>
        </w:rPr>
        <w:t>环、优化、提升，从对外使用对内运维等方面保障产品的持续迭代和</w:t>
      </w:r>
      <w:r>
        <w:rPr>
          <w:spacing w:val="-2"/>
        </w:rPr>
        <w:t>提供更好的服务，协助客户实现数据和产品价值。</w:t>
      </w:r>
    </w:p>
    <w:p>
      <w:pPr>
        <w:pStyle w:val="BodyText"/>
        <w:spacing w:line="357" w:lineRule="exact"/>
        <w:ind w:left="1879"/>
        <w:rPr>
          <w:rFonts w:ascii="黑体" w:eastAsia="黑体"/>
        </w:rPr>
      </w:pPr>
      <w:r>
        <w:rPr>
          <w:rFonts w:ascii="黑体" w:eastAsia="黑体"/>
          <w:spacing w:val="-4"/>
        </w:rPr>
        <w:t>【应用效果】</w:t>
      </w:r>
    </w:p>
    <w:p>
      <w:pPr>
        <w:pStyle w:val="Heading3"/>
        <w:numPr>
          <w:ilvl w:val="0"/>
          <w:numId w:val="17"/>
        </w:numPr>
        <w:tabs>
          <w:tab w:pos="2203" w:val="left" w:leader="none"/>
        </w:tabs>
        <w:spacing w:line="240" w:lineRule="auto" w:before="237" w:after="0"/>
        <w:ind w:left="2202" w:right="0" w:hanging="242"/>
        <w:jc w:val="left"/>
      </w:pPr>
      <w:r>
        <w:rPr>
          <w:w w:val="95"/>
        </w:rPr>
        <w:t>盘</w:t>
      </w:r>
      <w:r>
        <w:rPr>
          <w:w w:val="95"/>
        </w:rPr>
        <w:t>点</w:t>
      </w:r>
      <w:r>
        <w:rPr>
          <w:w w:val="95"/>
        </w:rPr>
        <w:t>全</w:t>
      </w:r>
      <w:r>
        <w:rPr>
          <w:w w:val="95"/>
        </w:rPr>
        <w:t>集</w:t>
      </w:r>
      <w:r>
        <w:rPr>
          <w:w w:val="95"/>
        </w:rPr>
        <w:t>团</w:t>
      </w:r>
      <w:r>
        <w:rPr>
          <w:w w:val="95"/>
        </w:rPr>
        <w:t>数</w:t>
      </w:r>
      <w:r>
        <w:rPr>
          <w:w w:val="95"/>
        </w:rPr>
        <w:t>据</w:t>
      </w:r>
      <w:r>
        <w:rPr>
          <w:w w:val="95"/>
        </w:rPr>
        <w:t>资</w:t>
      </w:r>
      <w:r>
        <w:rPr>
          <w:w w:val="95"/>
        </w:rPr>
        <w:t>产</w:t>
      </w:r>
      <w:r>
        <w:rPr>
          <w:w w:val="95"/>
        </w:rPr>
        <w:t>，</w:t>
      </w:r>
      <w:r>
        <w:rPr>
          <w:w w:val="95"/>
        </w:rPr>
        <w:t>形</w:t>
      </w:r>
      <w:r>
        <w:rPr>
          <w:w w:val="95"/>
        </w:rPr>
        <w:t>成</w:t>
      </w:r>
      <w:r>
        <w:rPr>
          <w:w w:val="95"/>
        </w:rPr>
        <w:t>数</w:t>
      </w:r>
      <w:r>
        <w:rPr>
          <w:w w:val="95"/>
        </w:rPr>
        <w:t>据</w:t>
      </w:r>
      <w:r>
        <w:rPr>
          <w:w w:val="95"/>
        </w:rPr>
        <w:t>资</w:t>
      </w:r>
      <w:r>
        <w:rPr>
          <w:w w:val="95"/>
        </w:rPr>
        <w:t>产</w:t>
      </w:r>
      <w:r>
        <w:rPr>
          <w:spacing w:val="-5"/>
          <w:w w:val="95"/>
        </w:rPr>
        <w:t>目录</w:t>
      </w:r>
    </w:p>
    <w:p>
      <w:pPr>
        <w:pStyle w:val="BodyText"/>
        <w:spacing w:line="417" w:lineRule="auto" w:before="242"/>
        <w:ind w:left="1320" w:right="1172" w:firstLine="559"/>
      </w:pPr>
      <w:r>
        <w:rPr>
          <w:spacing w:val="3"/>
          <w:w w:val="100"/>
        </w:rPr>
        <w:t>中国电信大数据资产涵盖了电信运营服务中所产生的各类基本</w:t>
      </w:r>
      <w:r>
        <w:rPr>
          <w:spacing w:val="-1"/>
          <w:w w:val="100"/>
        </w:rPr>
        <w:t>数据及通信娱乐、交互行为、位置轨迹等数据，数据资产具有中立、</w:t>
      </w:r>
      <w:r>
        <w:rPr>
          <w:spacing w:val="-9"/>
          <w:w w:val="100"/>
        </w:rPr>
        <w:t>横跨移固两网、多屏幕、高价值密度、基础信息完善、天然位置关联</w:t>
      </w:r>
      <w:r>
        <w:rPr>
          <w:spacing w:val="-6"/>
          <w:w w:val="100"/>
        </w:rPr>
        <w:t>等优势。现已汇聚了包含</w:t>
      </w:r>
      <w:r>
        <w:rPr>
          <w:rFonts w:ascii="Times New Roman" w:hAnsi="Times New Roman" w:eastAsia="Times New Roman"/>
          <w:spacing w:val="-8"/>
          <w:w w:val="100"/>
        </w:rPr>
        <w:t>“</w:t>
      </w:r>
      <w:r>
        <w:rPr>
          <w:w w:val="100"/>
        </w:rPr>
        <w:t>云管端</w:t>
      </w:r>
      <w:r>
        <w:rPr>
          <w:rFonts w:ascii="Times New Roman" w:hAnsi="Times New Roman" w:eastAsia="Times New Roman"/>
          <w:spacing w:val="-3"/>
          <w:w w:val="100"/>
        </w:rPr>
        <w:t>”</w:t>
      </w:r>
      <w:r>
        <w:rPr>
          <w:spacing w:val="-2"/>
          <w:w w:val="100"/>
        </w:rPr>
        <w:t>共计</w:t>
      </w:r>
      <w:r>
        <w:rPr>
          <w:spacing w:val="-51"/>
        </w:rPr>
        <w:t> </w:t>
      </w:r>
      <w:r>
        <w:rPr>
          <w:rFonts w:ascii="Times New Roman" w:hAnsi="Times New Roman" w:eastAsia="Times New Roman"/>
          <w:w w:val="100"/>
        </w:rPr>
        <w:t>4</w:t>
      </w:r>
      <w:r>
        <w:rPr>
          <w:rFonts w:ascii="Times New Roman" w:hAnsi="Times New Roman" w:eastAsia="Times New Roman"/>
          <w:spacing w:val="17"/>
        </w:rPr>
        <w:t> </w:t>
      </w:r>
      <w:r>
        <w:rPr>
          <w:w w:val="100"/>
        </w:rPr>
        <w:t>门</w:t>
      </w:r>
      <w:r>
        <w:rPr>
          <w:spacing w:val="-49"/>
        </w:rPr>
        <w:t> </w:t>
      </w:r>
      <w:r>
        <w:rPr>
          <w:rFonts w:ascii="Times New Roman" w:hAnsi="Times New Roman" w:eastAsia="Times New Roman"/>
          <w:spacing w:val="-2"/>
          <w:w w:val="100"/>
        </w:rPr>
        <w:t>1</w:t>
      </w:r>
      <w:r>
        <w:rPr>
          <w:rFonts w:ascii="Times New Roman" w:hAnsi="Times New Roman" w:eastAsia="Times New Roman"/>
          <w:w w:val="100"/>
        </w:rPr>
        <w:t>8</w:t>
      </w:r>
      <w:r>
        <w:rPr>
          <w:rFonts w:ascii="Times New Roman" w:hAnsi="Times New Roman" w:eastAsia="Times New Roman"/>
          <w:spacing w:val="17"/>
        </w:rPr>
        <w:t> </w:t>
      </w:r>
      <w:r>
        <w:rPr>
          <w:spacing w:val="-2"/>
          <w:w w:val="100"/>
        </w:rPr>
        <w:t>类数据，数据日接入量达</w:t>
      </w:r>
      <w:r>
        <w:rPr>
          <w:spacing w:val="-71"/>
        </w:rPr>
        <w:t> </w:t>
      </w:r>
      <w:r>
        <w:rPr>
          <w:rFonts w:ascii="Times New Roman" w:hAnsi="Times New Roman" w:eastAsia="Times New Roman"/>
          <w:spacing w:val="-2"/>
          <w:w w:val="100"/>
        </w:rPr>
        <w:t>2</w:t>
      </w:r>
      <w:r>
        <w:rPr>
          <w:rFonts w:ascii="Times New Roman" w:hAnsi="Times New Roman" w:eastAsia="Times New Roman"/>
          <w:w w:val="100"/>
        </w:rPr>
        <w:t>00</w:t>
      </w:r>
      <w:r>
        <w:rPr>
          <w:rFonts w:ascii="Times New Roman" w:hAnsi="Times New Roman" w:eastAsia="Times New Roman"/>
          <w:spacing w:val="-2"/>
          <w:w w:val="100"/>
        </w:rPr>
        <w:t>TB</w:t>
      </w:r>
      <w:r>
        <w:rPr>
          <w:spacing w:val="-1"/>
          <w:w w:val="100"/>
        </w:rPr>
        <w:t>，数据累计接入量</w:t>
      </w:r>
      <w:r>
        <w:rPr>
          <w:spacing w:val="-70"/>
        </w:rPr>
        <w:t> </w:t>
      </w:r>
      <w:r>
        <w:rPr>
          <w:rFonts w:ascii="Times New Roman" w:hAnsi="Times New Roman" w:eastAsia="Times New Roman"/>
          <w:spacing w:val="-2"/>
          <w:w w:val="100"/>
        </w:rPr>
        <w:t>30</w:t>
      </w:r>
      <w:r>
        <w:rPr>
          <w:rFonts w:ascii="Times New Roman" w:hAnsi="Times New Roman" w:eastAsia="Times New Roman"/>
          <w:w w:val="100"/>
        </w:rPr>
        <w:t>P</w:t>
      </w:r>
      <w:r>
        <w:rPr>
          <w:rFonts w:ascii="Times New Roman" w:hAnsi="Times New Roman" w:eastAsia="Times New Roman"/>
          <w:spacing w:val="-3"/>
          <w:w w:val="100"/>
        </w:rPr>
        <w:t>B</w:t>
      </w:r>
      <w:r>
        <w:rPr>
          <w:w w:val="100"/>
        </w:rPr>
        <w:t>。</w:t>
      </w:r>
    </w:p>
    <w:p>
      <w:pPr>
        <w:pStyle w:val="Heading3"/>
        <w:numPr>
          <w:ilvl w:val="0"/>
          <w:numId w:val="17"/>
        </w:numPr>
        <w:tabs>
          <w:tab w:pos="2203" w:val="left" w:leader="none"/>
        </w:tabs>
        <w:spacing w:line="381" w:lineRule="exact" w:before="0" w:after="0"/>
        <w:ind w:left="2202" w:right="0" w:hanging="242"/>
        <w:jc w:val="left"/>
      </w:pPr>
      <w:r>
        <w:rPr>
          <w:w w:val="95"/>
        </w:rPr>
        <w:t>搭</w:t>
      </w:r>
      <w:r>
        <w:rPr>
          <w:w w:val="95"/>
        </w:rPr>
        <w:t>建</w:t>
      </w:r>
      <w:r>
        <w:rPr>
          <w:w w:val="95"/>
        </w:rPr>
        <w:t>能</w:t>
      </w:r>
      <w:r>
        <w:rPr>
          <w:w w:val="95"/>
        </w:rPr>
        <w:t>力</w:t>
      </w:r>
      <w:r>
        <w:rPr>
          <w:w w:val="95"/>
        </w:rPr>
        <w:t>平</w:t>
      </w:r>
      <w:r>
        <w:rPr>
          <w:w w:val="95"/>
        </w:rPr>
        <w:t>台</w:t>
      </w:r>
      <w:r>
        <w:rPr>
          <w:w w:val="95"/>
        </w:rPr>
        <w:t>，</w:t>
      </w:r>
      <w:r>
        <w:rPr>
          <w:w w:val="95"/>
        </w:rPr>
        <w:t>坐</w:t>
      </w:r>
      <w:r>
        <w:rPr>
          <w:w w:val="95"/>
        </w:rPr>
        <w:t>拥</w:t>
      </w:r>
      <w:r>
        <w:rPr>
          <w:w w:val="95"/>
        </w:rPr>
        <w:t>六</w:t>
      </w:r>
      <w:r>
        <w:rPr>
          <w:w w:val="95"/>
        </w:rPr>
        <w:t>大</w:t>
      </w:r>
      <w:r>
        <w:rPr>
          <w:w w:val="95"/>
        </w:rPr>
        <w:t>优</w:t>
      </w:r>
      <w:r>
        <w:rPr>
          <w:spacing w:val="-10"/>
          <w:w w:val="95"/>
        </w:rPr>
        <w:t>势</w:t>
      </w:r>
    </w:p>
    <w:p>
      <w:pPr>
        <w:pStyle w:val="BodyText"/>
        <w:spacing w:line="417" w:lineRule="auto" w:before="242"/>
        <w:ind w:left="1320" w:right="1176" w:firstLine="559"/>
      </w:pPr>
      <w:r>
        <w:rPr>
          <w:spacing w:val="-3"/>
        </w:rPr>
        <w:t>中国电信大数据能力开放平台共有 </w:t>
      </w:r>
      <w:r>
        <w:rPr>
          <w:rFonts w:ascii="Times New Roman" w:eastAsia="Times New Roman"/>
        </w:rPr>
        <w:t>4000+</w:t>
      </w:r>
      <w:r>
        <w:rPr/>
        <w:t>计算节点，日数据处理</w:t>
      </w:r>
      <w:r>
        <w:rPr>
          <w:spacing w:val="-13"/>
        </w:rPr>
        <w:t>能力达 </w:t>
      </w:r>
      <w:r>
        <w:rPr>
          <w:rFonts w:ascii="Times New Roman" w:eastAsia="Times New Roman"/>
          <w:spacing w:val="-2"/>
        </w:rPr>
        <w:t>200TB</w:t>
      </w:r>
      <w:r>
        <w:rPr>
          <w:spacing w:val="-19"/>
        </w:rPr>
        <w:t>。拥有海量数据分析和处理能力、快速开发和部署能力、</w:t>
      </w:r>
      <w:r>
        <w:rPr>
          <w:spacing w:val="-2"/>
        </w:rPr>
        <w:t>资源隔离和数据安全管理能力、数据生产过程调度和管控能力、资源</w:t>
      </w:r>
      <w:r>
        <w:rPr>
          <w:spacing w:val="-8"/>
        </w:rPr>
        <w:t>动态管控能力和数据及服务开放能力，可有力支撑政府和企业级的数</w:t>
      </w:r>
    </w:p>
    <w:p>
      <w:pPr>
        <w:spacing w:before="114"/>
        <w:ind w:left="1329" w:right="1325" w:firstLine="0"/>
        <w:jc w:val="center"/>
        <w:rPr>
          <w:rFonts w:ascii="Times New Roman"/>
          <w:sz w:val="18"/>
        </w:rPr>
      </w:pPr>
      <w:r>
        <w:rPr>
          <w:rFonts w:ascii="Times New Roman"/>
          <w:spacing w:val="-5"/>
          <w:sz w:val="18"/>
        </w:rPr>
        <w:t>56</w:t>
      </w:r>
    </w:p>
    <w:p>
      <w:pPr>
        <w:spacing w:after="0"/>
        <w:jc w:val="center"/>
        <w:rPr>
          <w:rFonts w:ascii="Times New Roman"/>
          <w:sz w:val="18"/>
        </w:rPr>
        <w:sectPr>
          <w:headerReference w:type="default" r:id="rId73"/>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据进行分析处理及开放共享。</w:t>
      </w:r>
    </w:p>
    <w:p>
      <w:pPr>
        <w:pStyle w:val="Heading3"/>
        <w:numPr>
          <w:ilvl w:val="0"/>
          <w:numId w:val="17"/>
        </w:numPr>
        <w:tabs>
          <w:tab w:pos="2203" w:val="left" w:leader="none"/>
        </w:tabs>
        <w:spacing w:line="240" w:lineRule="auto" w:before="237" w:after="0"/>
        <w:ind w:left="2202" w:right="0" w:hanging="242"/>
        <w:jc w:val="left"/>
      </w:pPr>
      <w:r>
        <w:rPr>
          <w:w w:val="95"/>
        </w:rPr>
        <w:t>自</w:t>
      </w:r>
      <w:r>
        <w:rPr>
          <w:w w:val="95"/>
        </w:rPr>
        <w:t>主</w:t>
      </w:r>
      <w:r>
        <w:rPr>
          <w:w w:val="95"/>
        </w:rPr>
        <w:t>研</w:t>
      </w:r>
      <w:r>
        <w:rPr>
          <w:w w:val="95"/>
        </w:rPr>
        <w:t>发</w:t>
      </w:r>
      <w:r>
        <w:rPr>
          <w:w w:val="95"/>
        </w:rPr>
        <w:t>数</w:t>
      </w:r>
      <w:r>
        <w:rPr>
          <w:w w:val="95"/>
        </w:rPr>
        <w:t>据</w:t>
      </w:r>
      <w:r>
        <w:rPr>
          <w:w w:val="95"/>
        </w:rPr>
        <w:t>管</w:t>
      </w:r>
      <w:r>
        <w:rPr>
          <w:w w:val="95"/>
        </w:rPr>
        <w:t>理</w:t>
      </w:r>
      <w:r>
        <w:rPr>
          <w:w w:val="95"/>
        </w:rPr>
        <w:t>工</w:t>
      </w:r>
      <w:r>
        <w:rPr>
          <w:spacing w:val="-10"/>
          <w:w w:val="95"/>
        </w:rPr>
        <w:t>具</w:t>
      </w:r>
    </w:p>
    <w:p>
      <w:pPr>
        <w:pStyle w:val="BodyText"/>
        <w:spacing w:line="417" w:lineRule="auto" w:before="242"/>
        <w:ind w:left="1320" w:right="1314" w:firstLine="559"/>
        <w:jc w:val="both"/>
      </w:pPr>
      <w:r>
        <w:rPr>
          <w:spacing w:val="-6"/>
        </w:rPr>
        <w:t>中国电信在已有的数据资产管理经验上不断总结提炼，耗费大量</w:t>
      </w:r>
      <w:r>
        <w:rPr>
          <w:spacing w:val="4"/>
        </w:rPr>
        <w:t>时间精力自主研发了</w:t>
      </w:r>
      <w:r>
        <w:rPr>
          <w:rFonts w:ascii="Times New Roman" w:eastAsia="Times New Roman"/>
        </w:rPr>
        <w:t>6</w:t>
      </w:r>
      <w:r>
        <w:rPr>
          <w:rFonts w:ascii="Times New Roman" w:eastAsia="Times New Roman"/>
          <w:spacing w:val="-18"/>
        </w:rPr>
        <w:t> </w:t>
      </w:r>
      <w:r>
        <w:rPr>
          <w:spacing w:val="4"/>
        </w:rPr>
        <w:t>大数据资产管理能力和</w:t>
      </w:r>
      <w:r>
        <w:rPr>
          <w:rFonts w:ascii="Times New Roman" w:eastAsia="Times New Roman"/>
        </w:rPr>
        <w:t>8</w:t>
      </w:r>
      <w:r>
        <w:rPr>
          <w:rFonts w:ascii="Times New Roman" w:eastAsia="Times New Roman"/>
          <w:spacing w:val="-17"/>
        </w:rPr>
        <w:t> </w:t>
      </w:r>
      <w:r>
        <w:rPr/>
        <w:t>类专业数据资产管理</w:t>
      </w:r>
      <w:r>
        <w:rPr>
          <w:spacing w:val="-4"/>
        </w:rPr>
        <w:t>工具。如数据稽核系统对已经接入的数据进行稽核，保持数据的完整</w:t>
      </w:r>
      <w:r>
        <w:rPr>
          <w:spacing w:val="-4"/>
        </w:rPr>
        <w:t>性、一致性、准确性、时效性。数据资产运营管理系统对已经接入的</w:t>
      </w:r>
      <w:r>
        <w:rPr>
          <w:spacing w:val="-4"/>
        </w:rPr>
        <w:t>数据进行盘点，确认数据的基本信息、归属关系、来源系统、传输方</w:t>
      </w:r>
      <w:r>
        <w:rPr>
          <w:spacing w:val="-2"/>
        </w:rPr>
        <w:t>式、生产周期等。</w:t>
      </w:r>
    </w:p>
    <w:p>
      <w:pPr>
        <w:pStyle w:val="Heading3"/>
        <w:numPr>
          <w:ilvl w:val="0"/>
          <w:numId w:val="17"/>
        </w:numPr>
        <w:tabs>
          <w:tab w:pos="2203" w:val="left" w:leader="none"/>
        </w:tabs>
        <w:spacing w:line="381" w:lineRule="exact" w:before="0" w:after="0"/>
        <w:ind w:left="2202" w:right="0" w:hanging="242"/>
        <w:jc w:val="left"/>
      </w:pPr>
      <w:r>
        <w:rPr>
          <w:w w:val="95"/>
        </w:rPr>
        <w:t>形成</w:t>
      </w:r>
      <w:r>
        <w:rPr>
          <w:spacing w:val="14"/>
        </w:rPr>
        <w:t> </w:t>
      </w:r>
      <w:r>
        <w:rPr>
          <w:rFonts w:ascii="Times New Roman" w:eastAsia="Times New Roman"/>
          <w:w w:val="95"/>
        </w:rPr>
        <w:t>4+1</w:t>
      </w:r>
      <w:r>
        <w:rPr>
          <w:rFonts w:ascii="Times New Roman" w:eastAsia="Times New Roman"/>
          <w:spacing w:val="48"/>
          <w:w w:val="150"/>
        </w:rPr>
        <w:t> </w:t>
      </w:r>
      <w:r>
        <w:rPr>
          <w:w w:val="95"/>
        </w:rPr>
        <w:t>产品体</w:t>
      </w:r>
      <w:r>
        <w:rPr>
          <w:w w:val="95"/>
        </w:rPr>
        <w:t>系</w:t>
      </w:r>
      <w:r>
        <w:rPr>
          <w:w w:val="95"/>
        </w:rPr>
        <w:t>，服</w:t>
      </w:r>
      <w:r>
        <w:rPr>
          <w:w w:val="95"/>
        </w:rPr>
        <w:t>务</w:t>
      </w:r>
      <w:r>
        <w:rPr>
          <w:w w:val="95"/>
        </w:rPr>
        <w:t>于</w:t>
      </w:r>
      <w:r>
        <w:rPr>
          <w:w w:val="95"/>
        </w:rPr>
        <w:t>各</w:t>
      </w:r>
      <w:r>
        <w:rPr>
          <w:spacing w:val="-5"/>
          <w:w w:val="95"/>
        </w:rPr>
        <w:t>行业</w:t>
      </w:r>
    </w:p>
    <w:p>
      <w:pPr>
        <w:pStyle w:val="BodyText"/>
        <w:spacing w:line="417" w:lineRule="auto" w:before="242"/>
        <w:ind w:left="1320" w:right="1176" w:firstLine="559"/>
      </w:pPr>
      <w:r>
        <w:rPr>
          <w:spacing w:val="-2"/>
        </w:rPr>
        <w:t>已形成风险防控、精准营销、区域洞察、智慧运营、大数据云 </w:t>
      </w:r>
      <w:r>
        <w:rPr>
          <w:rFonts w:ascii="Times New Roman" w:eastAsia="Times New Roman"/>
        </w:rPr>
        <w:t>PaaS</w:t>
      </w:r>
      <w:r>
        <w:rPr>
          <w:rFonts w:ascii="Times New Roman" w:eastAsia="Times New Roman"/>
          <w:spacing w:val="20"/>
        </w:rPr>
        <w:t> </w:t>
      </w:r>
      <w:r>
        <w:rPr>
          <w:spacing w:val="-7"/>
        </w:rPr>
        <w:t>五个系列 </w:t>
      </w:r>
      <w:r>
        <w:rPr>
          <w:rFonts w:ascii="Times New Roman" w:eastAsia="Times New Roman"/>
        </w:rPr>
        <w:t>16</w:t>
      </w:r>
      <w:r>
        <w:rPr>
          <w:rFonts w:ascii="Times New Roman" w:eastAsia="Times New Roman"/>
          <w:spacing w:val="28"/>
        </w:rPr>
        <w:t> </w:t>
      </w:r>
      <w:r>
        <w:rPr/>
        <w:t>个子产品，覆盖金融、旅游、交通、政务、地产、</w:t>
      </w:r>
      <w:r>
        <w:rPr>
          <w:spacing w:val="-2"/>
        </w:rPr>
        <w:t>数字营销等多个领域。</w:t>
      </w:r>
    </w:p>
    <w:p>
      <w:pPr>
        <w:pStyle w:val="BodyText"/>
        <w:spacing w:line="358" w:lineRule="exact"/>
        <w:ind w:left="1879"/>
        <w:rPr>
          <w:rFonts w:ascii="黑体" w:eastAsia="黑体"/>
        </w:rPr>
      </w:pPr>
      <w:r>
        <w:rPr>
          <w:rFonts w:ascii="黑体" w:eastAsia="黑体"/>
          <w:spacing w:val="-4"/>
        </w:rPr>
        <w:t>【洞察启示】</w:t>
      </w:r>
    </w:p>
    <w:p>
      <w:pPr>
        <w:pStyle w:val="Heading3"/>
        <w:numPr>
          <w:ilvl w:val="0"/>
          <w:numId w:val="18"/>
        </w:numPr>
        <w:tabs>
          <w:tab w:pos="2203" w:val="left" w:leader="none"/>
        </w:tabs>
        <w:spacing w:line="240" w:lineRule="auto" w:before="237" w:after="0"/>
        <w:ind w:left="2202" w:right="0" w:hanging="242"/>
        <w:jc w:val="left"/>
      </w:pPr>
      <w:r>
        <w:rPr>
          <w:w w:val="95"/>
        </w:rPr>
        <w:t>正</w:t>
      </w:r>
      <w:r>
        <w:rPr>
          <w:w w:val="95"/>
        </w:rPr>
        <w:t>确</w:t>
      </w:r>
      <w:r>
        <w:rPr>
          <w:w w:val="95"/>
        </w:rPr>
        <w:t>认</w:t>
      </w:r>
      <w:r>
        <w:rPr>
          <w:w w:val="95"/>
        </w:rPr>
        <w:t>识</w:t>
      </w:r>
      <w:r>
        <w:rPr>
          <w:w w:val="95"/>
        </w:rPr>
        <w:t>大</w:t>
      </w:r>
      <w:r>
        <w:rPr>
          <w:w w:val="95"/>
        </w:rPr>
        <w:t>数</w:t>
      </w:r>
      <w:r>
        <w:rPr>
          <w:spacing w:val="-10"/>
          <w:w w:val="95"/>
        </w:rPr>
        <w:t>据</w:t>
      </w:r>
    </w:p>
    <w:p>
      <w:pPr>
        <w:pStyle w:val="BodyText"/>
        <w:spacing w:line="417" w:lineRule="auto" w:before="242"/>
        <w:ind w:left="1320" w:right="1037" w:firstLine="559"/>
      </w:pPr>
      <w:r>
        <w:rPr>
          <w:spacing w:val="-2"/>
        </w:rPr>
        <w:t>人们总是期望从大数据中挖掘出意想不到的</w:t>
      </w:r>
      <w:r>
        <w:rPr>
          <w:rFonts w:ascii="Times New Roman" w:hAnsi="Times New Roman" w:eastAsia="Times New Roman"/>
          <w:spacing w:val="-2"/>
        </w:rPr>
        <w:t>“</w:t>
      </w:r>
      <w:r>
        <w:rPr>
          <w:spacing w:val="-2"/>
        </w:rPr>
        <w:t>大价值</w:t>
      </w:r>
      <w:r>
        <w:rPr>
          <w:rFonts w:ascii="Times New Roman" w:hAnsi="Times New Roman" w:eastAsia="Times New Roman"/>
          <w:spacing w:val="-2"/>
        </w:rPr>
        <w:t>”</w:t>
      </w:r>
      <w:r>
        <w:rPr>
          <w:spacing w:val="-2"/>
        </w:rPr>
        <w:t>，实际上大</w:t>
      </w:r>
      <w:r>
        <w:rPr>
          <w:spacing w:val="-2"/>
        </w:rPr>
        <w:t> </w:t>
      </w:r>
      <w:r>
        <w:rPr>
          <w:spacing w:val="-8"/>
        </w:rPr>
        <w:t>数据的价值主要体现在它的驱动效应，即带动有关的科研和产业发展，</w:t>
      </w:r>
      <w:r>
        <w:rPr>
          <w:spacing w:val="-2"/>
        </w:rPr>
        <w:t>提高各行各业通过数据分析解决困难问题和增值的能力。</w:t>
      </w:r>
    </w:p>
    <w:p>
      <w:pPr>
        <w:pStyle w:val="BodyText"/>
        <w:spacing w:line="417" w:lineRule="auto"/>
        <w:ind w:left="1320" w:right="1316" w:firstLine="559"/>
        <w:jc w:val="both"/>
      </w:pPr>
      <w:r>
        <w:rPr>
          <w:spacing w:val="-4"/>
        </w:rPr>
        <w:t>大数据可以提高结论的可靠性，但不是 </w:t>
      </w:r>
      <w:r>
        <w:rPr>
          <w:rFonts w:ascii="Times New Roman" w:eastAsia="Times New Roman"/>
          <w:spacing w:val="-2"/>
        </w:rPr>
        <w:t>100%</w:t>
      </w:r>
      <w:r>
        <w:rPr>
          <w:spacing w:val="-2"/>
        </w:rPr>
        <w:t>的反应结果，正确</w:t>
      </w:r>
      <w:r>
        <w:rPr>
          <w:spacing w:val="-4"/>
        </w:rPr>
        <w:t>认识大数据的价值和利益，面对海量、异构、动态变化的数据发起挑</w:t>
      </w:r>
      <w:r>
        <w:rPr>
          <w:spacing w:val="-2"/>
        </w:rPr>
        <w:t>战，才能挖掘大数据中潜藏的价值。</w:t>
      </w:r>
    </w:p>
    <w:p>
      <w:pPr>
        <w:pStyle w:val="Heading3"/>
        <w:numPr>
          <w:ilvl w:val="0"/>
          <w:numId w:val="18"/>
        </w:numPr>
        <w:tabs>
          <w:tab w:pos="2203" w:val="left" w:leader="none"/>
        </w:tabs>
        <w:spacing w:line="382" w:lineRule="exact" w:before="0" w:after="0"/>
        <w:ind w:left="2202" w:right="0" w:hanging="242"/>
        <w:jc w:val="left"/>
      </w:pPr>
      <w:r>
        <w:rPr>
          <w:w w:val="95"/>
        </w:rPr>
        <w:t>建</w:t>
      </w:r>
      <w:r>
        <w:rPr>
          <w:w w:val="95"/>
        </w:rPr>
        <w:t>立</w:t>
      </w:r>
      <w:r>
        <w:rPr>
          <w:w w:val="95"/>
        </w:rPr>
        <w:t>大</w:t>
      </w:r>
      <w:r>
        <w:rPr>
          <w:w w:val="95"/>
        </w:rPr>
        <w:t>数</w:t>
      </w:r>
      <w:r>
        <w:rPr>
          <w:w w:val="95"/>
        </w:rPr>
        <w:t>据</w:t>
      </w:r>
      <w:r>
        <w:rPr>
          <w:w w:val="95"/>
        </w:rPr>
        <w:t>意</w:t>
      </w:r>
      <w:r>
        <w:rPr>
          <w:spacing w:val="-10"/>
          <w:w w:val="95"/>
        </w:rPr>
        <w:t>识</w:t>
      </w:r>
    </w:p>
    <w:p>
      <w:pPr>
        <w:pStyle w:val="BodyText"/>
        <w:spacing w:before="241"/>
        <w:ind w:left="1879"/>
      </w:pPr>
      <w:r>
        <w:rPr>
          <w:spacing w:val="-12"/>
        </w:rPr>
        <w:t>长久以来，数据意识的缺失导致中国电信的数据资产管理能力十</w:t>
      </w:r>
    </w:p>
    <w:p>
      <w:pPr>
        <w:pStyle w:val="BodyText"/>
        <w:rPr>
          <w:sz w:val="20"/>
        </w:rPr>
      </w:pPr>
    </w:p>
    <w:p>
      <w:pPr>
        <w:pStyle w:val="BodyText"/>
        <w:spacing w:before="6"/>
        <w:rPr>
          <w:sz w:val="19"/>
        </w:rPr>
      </w:pPr>
    </w:p>
    <w:p>
      <w:pPr>
        <w:spacing w:before="93"/>
        <w:ind w:left="1329" w:right="1325" w:firstLine="0"/>
        <w:jc w:val="center"/>
        <w:rPr>
          <w:rFonts w:ascii="Times New Roman"/>
          <w:sz w:val="18"/>
        </w:rPr>
      </w:pPr>
      <w:r>
        <w:rPr>
          <w:rFonts w:ascii="Times New Roman"/>
          <w:spacing w:val="-5"/>
          <w:sz w:val="18"/>
        </w:rPr>
        <w:t>57</w:t>
      </w:r>
    </w:p>
    <w:p>
      <w:pPr>
        <w:spacing w:after="0"/>
        <w:jc w:val="center"/>
        <w:rPr>
          <w:rFonts w:ascii="Times New Roman"/>
          <w:sz w:val="18"/>
        </w:rPr>
        <w:sectPr>
          <w:headerReference w:type="default" r:id="rId74"/>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7"/>
      </w:pPr>
      <w:r>
        <w:rPr>
          <w:spacing w:val="-8"/>
        </w:rPr>
        <w:t>分孱弱，建立高效、便捷的数据资产管理体系成为提升大数据能力的</w:t>
      </w:r>
      <w:r>
        <w:rPr>
          <w:spacing w:val="-2"/>
        </w:rPr>
        <w:t>重中之重。</w:t>
      </w:r>
    </w:p>
    <w:p>
      <w:pPr>
        <w:pStyle w:val="BodyText"/>
        <w:spacing w:line="417" w:lineRule="auto"/>
        <w:ind w:left="1320" w:right="1315" w:firstLine="559"/>
        <w:jc w:val="both"/>
      </w:pPr>
      <w:r>
        <w:rPr>
          <w:spacing w:val="-6"/>
        </w:rPr>
        <w:t>中国电信通过建立 </w:t>
      </w:r>
      <w:r>
        <w:rPr>
          <w:rFonts w:ascii="Times New Roman" w:eastAsia="Times New Roman"/>
          <w:spacing w:val="-2"/>
        </w:rPr>
        <w:t>6</w:t>
      </w:r>
      <w:r>
        <w:rPr>
          <w:rFonts w:ascii="Times New Roman" w:eastAsia="Times New Roman"/>
          <w:spacing w:val="-16"/>
        </w:rPr>
        <w:t> </w:t>
      </w:r>
      <w:r>
        <w:rPr>
          <w:spacing w:val="-2"/>
        </w:rPr>
        <w:t>大能力、</w:t>
      </w:r>
      <w:r>
        <w:rPr>
          <w:rFonts w:ascii="Times New Roman" w:eastAsia="Times New Roman"/>
          <w:spacing w:val="-2"/>
        </w:rPr>
        <w:t>8</w:t>
      </w:r>
      <w:r>
        <w:rPr>
          <w:rFonts w:ascii="Times New Roman" w:eastAsia="Times New Roman"/>
          <w:spacing w:val="-15"/>
        </w:rPr>
        <w:t> </w:t>
      </w:r>
      <w:r>
        <w:rPr>
          <w:spacing w:val="-2"/>
        </w:rPr>
        <w:t>类系统，细化数据采集需求，设</w:t>
      </w:r>
      <w:r>
        <w:rPr>
          <w:spacing w:val="-4"/>
        </w:rPr>
        <w:t>计数据采集策略，规范数据采集进度，打造了完整、高效的数据资产</w:t>
      </w:r>
      <w:r>
        <w:rPr>
          <w:spacing w:val="-2"/>
        </w:rPr>
        <w:t>管理体系。</w:t>
      </w:r>
    </w:p>
    <w:p>
      <w:pPr>
        <w:pStyle w:val="BodyText"/>
        <w:spacing w:line="417" w:lineRule="auto"/>
        <w:ind w:left="1320" w:right="1313" w:firstLine="559"/>
        <w:jc w:val="both"/>
      </w:pPr>
      <w:r>
        <w:rPr>
          <w:spacing w:val="-10"/>
        </w:rPr>
        <w:t>数据意识不仅仅是数据价值，更应注意到数据资产管理不当所产</w:t>
      </w:r>
      <w:r>
        <w:rPr>
          <w:spacing w:val="-4"/>
        </w:rPr>
        <w:t>生的危害，认识数据的局限性、对数据出处、采集、处理有一定的把</w:t>
      </w:r>
      <w:r>
        <w:rPr>
          <w:spacing w:val="-2"/>
        </w:rPr>
        <w:t>握力，建立正确的数据意识，实现对数据正确的使用。</w:t>
      </w:r>
    </w:p>
    <w:p>
      <w:pPr>
        <w:pStyle w:val="Heading3"/>
        <w:numPr>
          <w:ilvl w:val="0"/>
          <w:numId w:val="18"/>
        </w:numPr>
        <w:tabs>
          <w:tab w:pos="2203" w:val="left" w:leader="none"/>
        </w:tabs>
        <w:spacing w:line="382" w:lineRule="exact" w:before="0" w:after="0"/>
        <w:ind w:left="2202" w:right="0" w:hanging="242"/>
        <w:jc w:val="left"/>
      </w:pPr>
      <w:r>
        <w:rPr>
          <w:w w:val="95"/>
        </w:rPr>
        <w:t>把</w:t>
      </w:r>
      <w:r>
        <w:rPr>
          <w:w w:val="95"/>
        </w:rPr>
        <w:t>握</w:t>
      </w:r>
      <w:r>
        <w:rPr>
          <w:w w:val="95"/>
        </w:rPr>
        <w:t>大</w:t>
      </w:r>
      <w:r>
        <w:rPr>
          <w:w w:val="95"/>
        </w:rPr>
        <w:t>数</w:t>
      </w:r>
      <w:r>
        <w:rPr>
          <w:w w:val="95"/>
        </w:rPr>
        <w:t>据</w:t>
      </w:r>
      <w:r>
        <w:rPr>
          <w:w w:val="95"/>
        </w:rPr>
        <w:t>趋</w:t>
      </w:r>
      <w:r>
        <w:rPr>
          <w:spacing w:val="-10"/>
          <w:w w:val="95"/>
        </w:rPr>
        <w:t>势</w:t>
      </w:r>
    </w:p>
    <w:p>
      <w:pPr>
        <w:pStyle w:val="BodyText"/>
        <w:spacing w:line="417" w:lineRule="auto" w:before="240"/>
        <w:ind w:left="1320" w:right="1037" w:firstLine="559"/>
      </w:pPr>
      <w:r>
        <w:rPr>
          <w:spacing w:val="-2"/>
        </w:rPr>
        <w:t>大数据技术的发展如火如荼，在各个领域都得到了广泛的应用，</w:t>
      </w:r>
      <w:r>
        <w:rPr>
          <w:spacing w:val="-9"/>
        </w:rPr>
        <w:t>而且就其目前的发展情况来看，大数据技术具有十分良好的发展前景。</w:t>
      </w:r>
      <w:r>
        <w:rPr>
          <w:spacing w:val="-19"/>
        </w:rPr>
        <w:t>数据分析、数据处理、数据平台等无疑将成为未来大数据发展的核心。</w:t>
      </w:r>
    </w:p>
    <w:p>
      <w:pPr>
        <w:pStyle w:val="BodyText"/>
        <w:spacing w:line="417" w:lineRule="auto"/>
        <w:ind w:left="1320" w:right="1179" w:firstLine="559"/>
      </w:pPr>
      <w:r>
        <w:rPr>
          <w:spacing w:val="-17"/>
        </w:rPr>
        <w:t>大数据的特点也是有目共睹的，在互联网、云计算发展的推动下，</w:t>
      </w:r>
      <w:r>
        <w:rPr>
          <w:spacing w:val="-2"/>
        </w:rPr>
        <w:t>大数据技术未来的发展会朝着更加智能化、先进化、广泛化的方向发</w:t>
      </w:r>
      <w:r>
        <w:rPr>
          <w:spacing w:val="-20"/>
        </w:rPr>
        <w:t>展，从而为人们的生活带来更大的便利，为科技的发展注入新的活力。</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92"/>
        <w:ind w:left="1329" w:right="1325" w:firstLine="0"/>
        <w:jc w:val="center"/>
        <w:rPr>
          <w:rFonts w:ascii="Times New Roman"/>
          <w:sz w:val="18"/>
        </w:rPr>
      </w:pPr>
      <w:r>
        <w:rPr>
          <w:rFonts w:ascii="Times New Roman"/>
          <w:spacing w:val="-5"/>
          <w:sz w:val="18"/>
        </w:rPr>
        <w:t>58</w:t>
      </w:r>
    </w:p>
    <w:p>
      <w:pPr>
        <w:spacing w:after="0"/>
        <w:jc w:val="center"/>
        <w:rPr>
          <w:rFonts w:ascii="Times New Roman"/>
          <w:sz w:val="18"/>
        </w:rPr>
        <w:sectPr>
          <w:headerReference w:type="default" r:id="rId75"/>
          <w:pgSz w:w="11910" w:h="16840"/>
          <w:pgMar w:header="877" w:footer="0" w:top="1100" w:bottom="280" w:left="480" w:right="480"/>
        </w:sectPr>
      </w:pPr>
    </w:p>
    <w:p>
      <w:pPr>
        <w:pStyle w:val="BodyText"/>
        <w:rPr>
          <w:rFonts w:ascii="Times New Roman"/>
          <w:sz w:val="20"/>
        </w:rPr>
      </w:pPr>
    </w:p>
    <w:p>
      <w:pPr>
        <w:pStyle w:val="Heading2"/>
      </w:pPr>
      <w:bookmarkStart w:name="_bookmark69" w:id="70"/>
      <w:bookmarkEnd w:id="70"/>
      <w:r>
        <w:rPr>
          <w:b w:val="0"/>
        </w:rPr>
      </w:r>
      <w:r>
        <w:rPr>
          <w:w w:val="95"/>
        </w:rPr>
        <w:t>（</w:t>
      </w:r>
      <w:r>
        <w:rPr>
          <w:w w:val="95"/>
        </w:rPr>
        <w:t>二</w:t>
      </w:r>
      <w:r>
        <w:rPr>
          <w:w w:val="95"/>
        </w:rPr>
        <w:t>）</w:t>
      </w:r>
      <w:r>
        <w:rPr>
          <w:w w:val="95"/>
        </w:rPr>
        <w:t>中</w:t>
      </w:r>
      <w:r>
        <w:rPr>
          <w:w w:val="95"/>
        </w:rPr>
        <w:t>国</w:t>
      </w:r>
      <w:r>
        <w:rPr>
          <w:w w:val="95"/>
        </w:rPr>
        <w:t>移</w:t>
      </w:r>
      <w:r>
        <w:rPr>
          <w:w w:val="95"/>
        </w:rPr>
        <w:t>动</w:t>
      </w:r>
      <w:r>
        <w:rPr>
          <w:w w:val="95"/>
        </w:rPr>
        <w:t>省</w:t>
      </w:r>
      <w:r>
        <w:rPr>
          <w:w w:val="95"/>
        </w:rPr>
        <w:t>公</w:t>
      </w:r>
      <w:r>
        <w:rPr>
          <w:w w:val="95"/>
        </w:rPr>
        <w:t>司</w:t>
      </w:r>
      <w:r>
        <w:rPr>
          <w:w w:val="95"/>
        </w:rPr>
        <w:t>大</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4"/>
        </w:rPr>
        <w:t>【数据情况】</w:t>
      </w:r>
    </w:p>
    <w:p>
      <w:pPr>
        <w:pStyle w:val="BodyText"/>
        <w:spacing w:before="9"/>
        <w:rPr>
          <w:rFonts w:ascii="黑体"/>
          <w:sz w:val="20"/>
        </w:rPr>
      </w:pPr>
    </w:p>
    <w:p>
      <w:pPr>
        <w:pStyle w:val="BodyText"/>
        <w:spacing w:line="417" w:lineRule="auto"/>
        <w:ind w:left="1320" w:right="1175" w:firstLine="559"/>
      </w:pPr>
      <w:r>
        <w:rPr>
          <w:spacing w:val="-8"/>
          <w:w w:val="100"/>
        </w:rPr>
        <w:t>中国移动某省大数据整体建设处于发展阶段，现网数据平台存在 </w:t>
      </w:r>
      <w:r>
        <w:rPr>
          <w:rFonts w:ascii="Times New Roman" w:hAnsi="Times New Roman" w:eastAsia="Times New Roman"/>
          <w:spacing w:val="-5"/>
          <w:w w:val="100"/>
        </w:rPr>
        <w:t>“</w:t>
      </w:r>
      <w:r>
        <w:rPr>
          <w:w w:val="100"/>
        </w:rPr>
        <w:t>竖井式建设</w:t>
      </w:r>
      <w:r>
        <w:rPr>
          <w:rFonts w:ascii="Times New Roman" w:hAnsi="Times New Roman" w:eastAsia="Times New Roman"/>
          <w:spacing w:val="-3"/>
          <w:w w:val="100"/>
        </w:rPr>
        <w:t>”</w:t>
      </w:r>
      <w:r>
        <w:rPr>
          <w:spacing w:val="-39"/>
          <w:w w:val="100"/>
        </w:rPr>
        <w:t>、</w:t>
      </w:r>
      <w:r>
        <w:rPr>
          <w:rFonts w:ascii="Times New Roman" w:hAnsi="Times New Roman" w:eastAsia="Times New Roman"/>
          <w:spacing w:val="-5"/>
          <w:w w:val="100"/>
        </w:rPr>
        <w:t>“</w:t>
      </w:r>
      <w:r>
        <w:rPr>
          <w:spacing w:val="-1"/>
          <w:w w:val="100"/>
        </w:rPr>
        <w:t>数据资产分散管理</w:t>
      </w:r>
      <w:r>
        <w:rPr>
          <w:rFonts w:ascii="Times New Roman" w:hAnsi="Times New Roman" w:eastAsia="Times New Roman"/>
          <w:spacing w:val="-3"/>
          <w:w w:val="100"/>
        </w:rPr>
        <w:t>”</w:t>
      </w:r>
      <w:r>
        <w:rPr>
          <w:spacing w:val="-38"/>
          <w:w w:val="100"/>
        </w:rPr>
        <w:t>、</w:t>
      </w:r>
      <w:r>
        <w:rPr>
          <w:rFonts w:ascii="Times New Roman" w:hAnsi="Times New Roman" w:eastAsia="Times New Roman"/>
          <w:spacing w:val="-5"/>
          <w:w w:val="100"/>
        </w:rPr>
        <w:t>“</w:t>
      </w:r>
      <w:r>
        <w:rPr>
          <w:spacing w:val="-1"/>
          <w:w w:val="100"/>
        </w:rPr>
        <w:t>应用开发成本高</w:t>
      </w:r>
      <w:r>
        <w:rPr>
          <w:rFonts w:ascii="Times New Roman" w:hAnsi="Times New Roman" w:eastAsia="Times New Roman"/>
          <w:spacing w:val="-3"/>
          <w:w w:val="100"/>
        </w:rPr>
        <w:t>”</w:t>
      </w:r>
      <w:r>
        <w:rPr>
          <w:spacing w:val="-38"/>
          <w:w w:val="100"/>
        </w:rPr>
        <w:t>、</w:t>
      </w:r>
      <w:r>
        <w:rPr>
          <w:rFonts w:ascii="Times New Roman" w:hAnsi="Times New Roman" w:eastAsia="Times New Roman"/>
          <w:spacing w:val="-5"/>
          <w:w w:val="100"/>
        </w:rPr>
        <w:t>“</w:t>
      </w:r>
      <w:r>
        <w:rPr>
          <w:w w:val="100"/>
        </w:rPr>
        <w:t>安全保障</w:t>
      </w:r>
      <w:r>
        <w:rPr>
          <w:spacing w:val="1"/>
          <w:w w:val="100"/>
        </w:rPr>
        <w:t>能力分散</w:t>
      </w:r>
      <w:r>
        <w:rPr>
          <w:rFonts w:ascii="Times New Roman" w:hAnsi="Times New Roman" w:eastAsia="Times New Roman"/>
          <w:w w:val="100"/>
        </w:rPr>
        <w:t>”</w:t>
      </w:r>
      <w:r>
        <w:rPr>
          <w:w w:val="100"/>
        </w:rPr>
        <w:t>等诸多问题。面向未来发展，省公司决定建设全省统一的</w:t>
      </w:r>
      <w:r>
        <w:rPr>
          <w:spacing w:val="-3"/>
          <w:w w:val="100"/>
        </w:rPr>
        <w:t>企业级大数据平台，初期融合</w:t>
      </w:r>
      <w:r>
        <w:rPr>
          <w:spacing w:val="-51"/>
        </w:rPr>
        <w:t> </w:t>
      </w:r>
      <w:r>
        <w:rPr>
          <w:rFonts w:ascii="Times New Roman" w:hAnsi="Times New Roman" w:eastAsia="Times New Roman"/>
          <w:w w:val="100"/>
        </w:rPr>
        <w:t>B</w:t>
      </w:r>
      <w:r>
        <w:rPr>
          <w:rFonts w:ascii="Times New Roman" w:hAnsi="Times New Roman" w:eastAsia="Times New Roman"/>
          <w:spacing w:val="16"/>
        </w:rPr>
        <w:t> </w:t>
      </w:r>
      <w:r>
        <w:rPr>
          <w:w w:val="100"/>
        </w:rPr>
        <w:t>域和</w:t>
      </w:r>
      <w:r>
        <w:rPr>
          <w:spacing w:val="-54"/>
        </w:rPr>
        <w:t> </w:t>
      </w:r>
      <w:r>
        <w:rPr>
          <w:rFonts w:ascii="Times New Roman" w:hAnsi="Times New Roman" w:eastAsia="Times New Roman"/>
          <w:w w:val="100"/>
        </w:rPr>
        <w:t>O</w:t>
      </w:r>
      <w:r>
        <w:rPr>
          <w:rFonts w:ascii="Times New Roman" w:hAnsi="Times New Roman" w:eastAsia="Times New Roman"/>
          <w:spacing w:val="17"/>
        </w:rPr>
        <w:t> </w:t>
      </w:r>
      <w:r>
        <w:rPr>
          <w:spacing w:val="-3"/>
          <w:w w:val="100"/>
        </w:rPr>
        <w:t>域数据，并为上层应用提供数据服务、数据存储计算资源、分析挖掘能力等，总共近</w:t>
      </w:r>
      <w:r>
        <w:rPr>
          <w:spacing w:val="-45"/>
        </w:rPr>
        <w:t> </w:t>
      </w:r>
      <w:r>
        <w:rPr>
          <w:rFonts w:ascii="Times New Roman" w:hAnsi="Times New Roman" w:eastAsia="Times New Roman"/>
          <w:spacing w:val="-2"/>
          <w:w w:val="100"/>
        </w:rPr>
        <w:t>30</w:t>
      </w:r>
      <w:r>
        <w:rPr>
          <w:rFonts w:ascii="Times New Roman" w:hAnsi="Times New Roman" w:eastAsia="Times New Roman"/>
          <w:w w:val="100"/>
        </w:rPr>
        <w:t>0</w:t>
      </w:r>
      <w:r>
        <w:rPr>
          <w:rFonts w:ascii="Times New Roman" w:hAnsi="Times New Roman" w:eastAsia="Times New Roman"/>
          <w:spacing w:val="22"/>
        </w:rPr>
        <w:t> </w:t>
      </w:r>
      <w:r>
        <w:rPr>
          <w:w w:val="100"/>
        </w:rPr>
        <w:t>节点，</w:t>
      </w:r>
      <w:r>
        <w:rPr>
          <w:spacing w:val="2"/>
          <w:w w:val="100"/>
        </w:rPr>
        <w:t>由中国移动苏州研发中心（</w:t>
      </w:r>
      <w:r>
        <w:rPr>
          <w:spacing w:val="3"/>
          <w:w w:val="100"/>
        </w:rPr>
        <w:t>简称</w:t>
      </w:r>
      <w:r>
        <w:rPr>
          <w:rFonts w:ascii="Times New Roman" w:hAnsi="Times New Roman" w:eastAsia="Times New Roman"/>
          <w:spacing w:val="-3"/>
          <w:w w:val="100"/>
        </w:rPr>
        <w:t>“</w:t>
      </w:r>
      <w:r>
        <w:rPr>
          <w:spacing w:val="3"/>
          <w:w w:val="100"/>
        </w:rPr>
        <w:t>苏研</w:t>
      </w:r>
      <w:r>
        <w:rPr>
          <w:rFonts w:ascii="Times New Roman" w:hAnsi="Times New Roman" w:eastAsia="Times New Roman"/>
          <w:spacing w:val="2"/>
          <w:w w:val="100"/>
        </w:rPr>
        <w:t>”</w:t>
      </w:r>
      <w:r>
        <w:rPr>
          <w:spacing w:val="2"/>
          <w:w w:val="100"/>
        </w:rPr>
        <w:t>）负责承建，系统采用</w:t>
      </w:r>
      <w:r>
        <w:rPr>
          <w:rFonts w:ascii="Times New Roman" w:hAnsi="Times New Roman" w:eastAsia="Times New Roman"/>
          <w:spacing w:val="-3"/>
          <w:w w:val="100"/>
        </w:rPr>
        <w:t>“</w:t>
      </w:r>
      <w:r>
        <w:rPr>
          <w:spacing w:val="4"/>
          <w:w w:val="100"/>
        </w:rPr>
        <w:t>两域</w:t>
      </w:r>
      <w:r>
        <w:rPr>
          <w:spacing w:val="-1"/>
          <w:w w:val="100"/>
        </w:rPr>
        <w:t>四层</w:t>
      </w:r>
      <w:r>
        <w:rPr>
          <w:rFonts w:ascii="Times New Roman" w:hAnsi="Times New Roman" w:eastAsia="Times New Roman"/>
          <w:spacing w:val="-3"/>
          <w:w w:val="100"/>
        </w:rPr>
        <w:t>”</w:t>
      </w:r>
      <w:r>
        <w:rPr>
          <w:spacing w:val="-4"/>
          <w:w w:val="100"/>
        </w:rPr>
        <w:t>技术架构，采用</w:t>
      </w:r>
      <w:r>
        <w:rPr>
          <w:spacing w:val="-68"/>
        </w:rPr>
        <w:t> </w:t>
      </w:r>
      <w:r>
        <w:rPr>
          <w:rFonts w:ascii="Times New Roman" w:hAnsi="Times New Roman" w:eastAsia="Times New Roman"/>
          <w:spacing w:val="-2"/>
          <w:w w:val="100"/>
        </w:rPr>
        <w:t>H</w:t>
      </w:r>
      <w:r>
        <w:rPr>
          <w:rFonts w:ascii="Times New Roman" w:hAnsi="Times New Roman" w:eastAsia="Times New Roman"/>
          <w:spacing w:val="-3"/>
          <w:w w:val="100"/>
        </w:rPr>
        <w:t>a</w:t>
      </w:r>
      <w:r>
        <w:rPr>
          <w:rFonts w:ascii="Times New Roman" w:hAnsi="Times New Roman" w:eastAsia="Times New Roman"/>
          <w:w w:val="100"/>
        </w:rPr>
        <w:t>d</w:t>
      </w:r>
      <w:r>
        <w:rPr>
          <w:rFonts w:ascii="Times New Roman" w:hAnsi="Times New Roman" w:eastAsia="Times New Roman"/>
          <w:spacing w:val="-2"/>
          <w:w w:val="100"/>
        </w:rPr>
        <w:t>oop</w:t>
      </w:r>
      <w:r>
        <w:rPr>
          <w:spacing w:val="-17"/>
          <w:w w:val="100"/>
        </w:rPr>
        <w:t>、</w:t>
      </w:r>
      <w:r>
        <w:rPr>
          <w:rFonts w:ascii="Times New Roman" w:hAnsi="Times New Roman" w:eastAsia="Times New Roman"/>
          <w:spacing w:val="-1"/>
          <w:w w:val="100"/>
        </w:rPr>
        <w:t>MP</w:t>
      </w:r>
      <w:r>
        <w:rPr>
          <w:rFonts w:ascii="Times New Roman" w:hAnsi="Times New Roman" w:eastAsia="Times New Roman"/>
          <w:spacing w:val="-3"/>
          <w:w w:val="100"/>
        </w:rPr>
        <w:t>P</w:t>
      </w:r>
      <w:r>
        <w:rPr>
          <w:spacing w:val="-5"/>
          <w:w w:val="100"/>
        </w:rPr>
        <w:t>、传统数据库和流处理融合方式</w:t>
      </w:r>
      <w:r>
        <w:rPr>
          <w:spacing w:val="-10"/>
          <w:w w:val="100"/>
        </w:rPr>
        <w:t>支撑上层百花齐放的应用。数据资产管理是其中重要一环，重点从五</w:t>
      </w:r>
      <w:r>
        <w:rPr>
          <w:spacing w:val="-1"/>
          <w:w w:val="100"/>
        </w:rPr>
        <w:t>方面着手，分别为：数据标准化管理、元数据管理、数据质量管理、</w:t>
      </w:r>
      <w:r>
        <w:rPr>
          <w:spacing w:val="-3"/>
          <w:w w:val="100"/>
        </w:rPr>
        <w:t>数据资产管理、数据安全管理。</w:t>
      </w:r>
    </w:p>
    <w:p>
      <w:pPr>
        <w:pStyle w:val="BodyText"/>
        <w:spacing w:line="357" w:lineRule="exact"/>
        <w:ind w:left="1879"/>
      </w:pPr>
      <w:r>
        <w:rPr>
          <w:spacing w:val="-4"/>
        </w:rPr>
        <w:t>数据情况如下：</w:t>
      </w:r>
    </w:p>
    <w:p>
      <w:pPr>
        <w:pStyle w:val="BodyText"/>
        <w:spacing w:before="9"/>
        <w:rPr>
          <w:sz w:val="20"/>
        </w:rPr>
      </w:pPr>
    </w:p>
    <w:p>
      <w:pPr>
        <w:pStyle w:val="BodyText"/>
        <w:spacing w:line="417" w:lineRule="auto"/>
        <w:ind w:left="1320" w:right="1315" w:firstLine="559"/>
      </w:pPr>
      <w:r>
        <w:rPr>
          <w:rFonts w:ascii="Times New Roman" w:eastAsia="Times New Roman"/>
        </w:rPr>
        <w:t>B</w:t>
      </w:r>
      <w:r>
        <w:rPr>
          <w:rFonts w:ascii="Times New Roman" w:eastAsia="Times New Roman"/>
          <w:spacing w:val="-18"/>
        </w:rPr>
        <w:t> </w:t>
      </w:r>
      <w:r>
        <w:rPr>
          <w:spacing w:val="-21"/>
        </w:rPr>
        <w:t>域数据包括：经分系统数据，如详单、账单、工单和用户数据；</w:t>
      </w:r>
      <w:r>
        <w:rPr/>
        <w:t>终端库数据，如终端属性数据、</w:t>
      </w:r>
      <w:r>
        <w:rPr>
          <w:rFonts w:ascii="Times New Roman" w:eastAsia="Times New Roman"/>
        </w:rPr>
        <w:t>IMEI </w:t>
      </w:r>
      <w:r>
        <w:rPr/>
        <w:t>与终端型号对应关系等。</w:t>
      </w:r>
    </w:p>
    <w:p>
      <w:pPr>
        <w:pStyle w:val="BodyText"/>
        <w:spacing w:line="417" w:lineRule="auto"/>
        <w:ind w:left="1320" w:right="1314" w:firstLine="559"/>
      </w:pPr>
      <w:r>
        <w:rPr>
          <w:rFonts w:ascii="Times New Roman" w:eastAsia="Times New Roman"/>
        </w:rPr>
        <w:t>O </w:t>
      </w:r>
      <w:r>
        <w:rPr/>
        <w:t>域数据包括：</w:t>
      </w:r>
      <w:r>
        <w:rPr>
          <w:rFonts w:ascii="Times New Roman" w:eastAsia="Times New Roman"/>
        </w:rPr>
        <w:t>2G/3G</w:t>
      </w:r>
      <w:r>
        <w:rPr>
          <w:rFonts w:ascii="Times New Roman" w:eastAsia="Times New Roman"/>
          <w:spacing w:val="-1"/>
        </w:rPr>
        <w:t> </w:t>
      </w:r>
      <w:r>
        <w:rPr/>
        <w:t>信令、</w:t>
      </w:r>
      <w:r>
        <w:rPr>
          <w:rFonts w:ascii="Times New Roman" w:eastAsia="Times New Roman"/>
        </w:rPr>
        <w:t>VOLTE </w:t>
      </w:r>
      <w:r>
        <w:rPr/>
        <w:t>信令、</w:t>
      </w:r>
      <w:r>
        <w:rPr>
          <w:rFonts w:ascii="Times New Roman" w:eastAsia="Times New Roman"/>
        </w:rPr>
        <w:t>LTE</w:t>
      </w:r>
      <w:r>
        <w:rPr>
          <w:rFonts w:ascii="Times New Roman" w:eastAsia="Times New Roman"/>
          <w:spacing w:val="-1"/>
        </w:rPr>
        <w:t> </w:t>
      </w:r>
      <w:r>
        <w:rPr/>
        <w:t>信令、软采数</w:t>
      </w:r>
      <w:r>
        <w:rPr>
          <w:spacing w:val="-2"/>
        </w:rPr>
        <w:t>据、宽带数据、网管数据、测量测试数据、无线数据等</w:t>
      </w:r>
    </w:p>
    <w:p>
      <w:pPr>
        <w:pStyle w:val="BodyText"/>
        <w:spacing w:line="417" w:lineRule="auto"/>
        <w:ind w:left="1320" w:right="1316" w:firstLine="559"/>
      </w:pPr>
      <w:r>
        <w:rPr>
          <w:spacing w:val="-7"/>
        </w:rPr>
        <w:t>数据规模较大，每天汇总的原始数据达到近 </w:t>
      </w:r>
      <w:r>
        <w:rPr>
          <w:rFonts w:ascii="Times New Roman" w:eastAsia="Times New Roman"/>
          <w:spacing w:val="-4"/>
        </w:rPr>
        <w:t>60TB</w:t>
      </w:r>
      <w:r>
        <w:rPr>
          <w:spacing w:val="-4"/>
        </w:rPr>
        <w:t>，</w:t>
      </w:r>
      <w:r>
        <w:rPr>
          <w:rFonts w:ascii="Times New Roman" w:eastAsia="Times New Roman"/>
          <w:spacing w:val="-4"/>
        </w:rPr>
        <w:t>Hadoop </w:t>
      </w:r>
      <w:r>
        <w:rPr>
          <w:spacing w:val="-4"/>
        </w:rPr>
        <w:t>平台</w:t>
      </w:r>
      <w:r>
        <w:rPr>
          <w:spacing w:val="-3"/>
        </w:rPr>
        <w:t>的数据达到近 </w:t>
      </w:r>
      <w:r>
        <w:rPr>
          <w:rFonts w:ascii="Times New Roman" w:eastAsia="Times New Roman"/>
        </w:rPr>
        <w:t>2PB</w:t>
      </w:r>
      <w:r>
        <w:rPr/>
        <w:t>，</w:t>
      </w:r>
      <w:r>
        <w:rPr>
          <w:rFonts w:ascii="Times New Roman" w:eastAsia="Times New Roman"/>
        </w:rPr>
        <w:t>MPP </w:t>
      </w:r>
      <w:r>
        <w:rPr>
          <w:spacing w:val="-4"/>
        </w:rPr>
        <w:t>数据达到近 </w:t>
      </w:r>
      <w:r>
        <w:rPr>
          <w:rFonts w:ascii="Times New Roman" w:eastAsia="Times New Roman"/>
        </w:rPr>
        <w:t>200TB</w:t>
      </w:r>
      <w:r>
        <w:rPr/>
        <w:t>；</w:t>
      </w:r>
    </w:p>
    <w:p>
      <w:pPr>
        <w:pStyle w:val="BodyText"/>
        <w:spacing w:line="358" w:lineRule="exact"/>
        <w:ind w:left="1879"/>
        <w:rPr>
          <w:rFonts w:ascii="黑体" w:eastAsia="黑体"/>
        </w:rPr>
      </w:pPr>
      <w:r>
        <w:rPr>
          <w:rFonts w:ascii="黑体" w:eastAsia="黑体"/>
          <w:spacing w:val="-4"/>
        </w:rPr>
        <w:t>【痛点难点】</w:t>
      </w:r>
    </w:p>
    <w:p>
      <w:pPr>
        <w:pStyle w:val="BodyText"/>
        <w:spacing w:before="8"/>
        <w:rPr>
          <w:rFonts w:ascii="黑体"/>
          <w:sz w:val="20"/>
        </w:rPr>
      </w:pPr>
    </w:p>
    <w:p>
      <w:pPr>
        <w:pStyle w:val="BodyText"/>
        <w:spacing w:before="1"/>
        <w:ind w:left="1879"/>
      </w:pPr>
      <w:r>
        <w:rPr>
          <w:spacing w:val="-3"/>
        </w:rPr>
        <w:t>我省在大数据资产管理工作方面的的痛点难点主要表现为：</w:t>
      </w:r>
    </w:p>
    <w:p>
      <w:pPr>
        <w:pStyle w:val="BodyText"/>
        <w:spacing w:before="8"/>
        <w:rPr>
          <w:sz w:val="20"/>
        </w:rPr>
      </w:pPr>
    </w:p>
    <w:p>
      <w:pPr>
        <w:pStyle w:val="ListParagraph"/>
        <w:numPr>
          <w:ilvl w:val="0"/>
          <w:numId w:val="19"/>
        </w:numPr>
        <w:tabs>
          <w:tab w:pos="3000" w:val="left" w:leader="none"/>
          <w:tab w:pos="3001" w:val="left" w:leader="none"/>
        </w:tabs>
        <w:spacing w:line="240" w:lineRule="auto" w:before="0" w:after="0"/>
        <w:ind w:left="3000" w:right="0" w:hanging="500"/>
        <w:jc w:val="left"/>
        <w:rPr>
          <w:sz w:val="28"/>
        </w:rPr>
      </w:pPr>
      <w:r>
        <w:rPr>
          <w:spacing w:val="-11"/>
          <w:sz w:val="28"/>
        </w:rPr>
        <w:t>组织机制：缺乏数据资产管理组织架构，需要明确各级</w:t>
      </w:r>
    </w:p>
    <w:p>
      <w:pPr>
        <w:pStyle w:val="BodyText"/>
        <w:rPr>
          <w:sz w:val="20"/>
        </w:rPr>
      </w:pPr>
    </w:p>
    <w:p>
      <w:pPr>
        <w:pStyle w:val="BodyText"/>
        <w:spacing w:before="10"/>
        <w:rPr>
          <w:sz w:val="14"/>
        </w:rPr>
      </w:pPr>
    </w:p>
    <w:p>
      <w:pPr>
        <w:spacing w:before="93"/>
        <w:ind w:left="1329" w:right="1325" w:firstLine="0"/>
        <w:jc w:val="center"/>
        <w:rPr>
          <w:rFonts w:ascii="Times New Roman"/>
          <w:sz w:val="18"/>
        </w:rPr>
      </w:pPr>
      <w:r>
        <w:rPr>
          <w:rFonts w:ascii="Times New Roman"/>
          <w:spacing w:val="-5"/>
          <w:sz w:val="18"/>
        </w:rPr>
        <w:t>59</w:t>
      </w:r>
    </w:p>
    <w:p>
      <w:pPr>
        <w:spacing w:after="0"/>
        <w:jc w:val="center"/>
        <w:rPr>
          <w:rFonts w:ascii="Times New Roman"/>
          <w:sz w:val="18"/>
        </w:rPr>
        <w:sectPr>
          <w:headerReference w:type="default" r:id="rId76"/>
          <w:pgSz w:w="11910" w:h="16840"/>
          <w:pgMar w:header="877" w:footer="0" w:top="1100" w:bottom="280" w:left="480" w:right="480"/>
        </w:sectPr>
      </w:pPr>
    </w:p>
    <w:p>
      <w:pPr>
        <w:pStyle w:val="BodyText"/>
        <w:rPr>
          <w:rFonts w:ascii="Times New Roman"/>
          <w:sz w:val="20"/>
        </w:rPr>
      </w:pPr>
    </w:p>
    <w:p>
      <w:pPr>
        <w:pStyle w:val="BodyText"/>
        <w:spacing w:line="417" w:lineRule="auto" w:before="225"/>
        <w:ind w:left="2302" w:right="1317"/>
      </w:pPr>
      <w:r>
        <w:rPr>
          <w:spacing w:val="-2"/>
        </w:rPr>
        <w:t>角色和职责，保障数据资产管理的各项管理办法、工作流程</w:t>
      </w:r>
      <w:r>
        <w:rPr>
          <w:spacing w:val="-2"/>
        </w:rPr>
        <w:t>的实施，推送数据资产管理工作的有序开展。</w:t>
      </w:r>
    </w:p>
    <w:p>
      <w:pPr>
        <w:pStyle w:val="ListParagraph"/>
        <w:numPr>
          <w:ilvl w:val="0"/>
          <w:numId w:val="19"/>
        </w:numPr>
        <w:tabs>
          <w:tab w:pos="3000" w:val="left" w:leader="none"/>
          <w:tab w:pos="3001" w:val="left" w:leader="none"/>
        </w:tabs>
        <w:spacing w:line="417" w:lineRule="auto" w:before="0" w:after="0"/>
        <w:ind w:left="2302" w:right="1191" w:firstLine="199"/>
        <w:jc w:val="left"/>
        <w:rPr>
          <w:sz w:val="28"/>
        </w:rPr>
      </w:pPr>
      <w:r>
        <w:rPr>
          <w:spacing w:val="-2"/>
          <w:sz w:val="28"/>
        </w:rPr>
        <w:t>数据管控流程：跨域跨专业数据管控流程尚未建立、跨</w:t>
      </w:r>
      <w:r>
        <w:rPr>
          <w:spacing w:val="-8"/>
          <w:sz w:val="28"/>
        </w:rPr>
        <w:t>域数据管理技术手段尚不完善，数据质量有时存在</w:t>
      </w:r>
      <w:r>
        <w:rPr>
          <w:rFonts w:ascii="Times New Roman" w:hAnsi="Times New Roman" w:eastAsia="Times New Roman"/>
          <w:spacing w:val="-2"/>
          <w:sz w:val="28"/>
        </w:rPr>
        <w:t>“</w:t>
      </w:r>
      <w:r>
        <w:rPr>
          <w:spacing w:val="-2"/>
          <w:sz w:val="28"/>
        </w:rPr>
        <w:t>一事一议</w:t>
      </w:r>
      <w:r>
        <w:rPr>
          <w:rFonts w:ascii="Times New Roman" w:hAnsi="Times New Roman" w:eastAsia="Times New Roman"/>
          <w:spacing w:val="-2"/>
          <w:sz w:val="28"/>
        </w:rPr>
        <w:t>”</w:t>
      </w:r>
      <w:r>
        <w:rPr>
          <w:spacing w:val="-2"/>
          <w:sz w:val="28"/>
        </w:rPr>
        <w:t>现象，效率不高。</w:t>
      </w:r>
    </w:p>
    <w:p>
      <w:pPr>
        <w:pStyle w:val="ListParagraph"/>
        <w:numPr>
          <w:ilvl w:val="0"/>
          <w:numId w:val="19"/>
        </w:numPr>
        <w:tabs>
          <w:tab w:pos="3001" w:val="left" w:leader="none"/>
        </w:tabs>
        <w:spacing w:line="417" w:lineRule="auto" w:before="0" w:after="0"/>
        <w:ind w:left="2302" w:right="1315" w:firstLine="199"/>
        <w:jc w:val="both"/>
        <w:rPr>
          <w:sz w:val="28"/>
        </w:rPr>
      </w:pPr>
      <w:r>
        <w:rPr>
          <w:spacing w:val="-9"/>
          <w:sz w:val="28"/>
        </w:rPr>
        <w:t>数据分散：省内数据尚未实现充分整合，无法支撑跨域</w:t>
      </w:r>
      <w:r>
        <w:rPr>
          <w:spacing w:val="-2"/>
          <w:sz w:val="28"/>
        </w:rPr>
        <w:t>数据分析应用，比如面向客户体验的 </w:t>
      </w:r>
      <w:r>
        <w:rPr>
          <w:rFonts w:ascii="Times New Roman" w:hAnsi="Times New Roman" w:eastAsia="Times New Roman"/>
          <w:sz w:val="28"/>
        </w:rPr>
        <w:t>4G</w:t>
      </w:r>
      <w:r>
        <w:rPr>
          <w:rFonts w:ascii="Times New Roman" w:hAnsi="Times New Roman" w:eastAsia="Times New Roman"/>
          <w:spacing w:val="43"/>
          <w:sz w:val="28"/>
        </w:rPr>
        <w:t> </w:t>
      </w:r>
      <w:r>
        <w:rPr>
          <w:sz w:val="28"/>
        </w:rPr>
        <w:t>网络质量保障，需</w:t>
      </w:r>
      <w:r>
        <w:rPr>
          <w:spacing w:val="-13"/>
          <w:sz w:val="28"/>
        </w:rPr>
        <w:t>要 </w:t>
      </w:r>
      <w:r>
        <w:rPr>
          <w:rFonts w:ascii="Times New Roman" w:hAnsi="Times New Roman" w:eastAsia="Times New Roman"/>
          <w:sz w:val="28"/>
        </w:rPr>
        <w:t>B </w:t>
      </w:r>
      <w:r>
        <w:rPr>
          <w:spacing w:val="-9"/>
          <w:sz w:val="28"/>
        </w:rPr>
        <w:t>域和 </w:t>
      </w:r>
      <w:r>
        <w:rPr>
          <w:rFonts w:ascii="Times New Roman" w:hAnsi="Times New Roman" w:eastAsia="Times New Roman"/>
          <w:sz w:val="28"/>
        </w:rPr>
        <w:t>O </w:t>
      </w:r>
      <w:r>
        <w:rPr>
          <w:sz w:val="28"/>
        </w:rPr>
        <w:t>域数据融合。</w:t>
      </w:r>
    </w:p>
    <w:p>
      <w:pPr>
        <w:pStyle w:val="ListParagraph"/>
        <w:numPr>
          <w:ilvl w:val="0"/>
          <w:numId w:val="19"/>
        </w:numPr>
        <w:tabs>
          <w:tab w:pos="3001" w:val="left" w:leader="none"/>
        </w:tabs>
        <w:spacing w:line="417" w:lineRule="auto" w:before="0" w:after="0"/>
        <w:ind w:left="2302" w:right="1314" w:firstLine="199"/>
        <w:jc w:val="both"/>
        <w:rPr>
          <w:sz w:val="28"/>
        </w:rPr>
      </w:pPr>
      <w:r>
        <w:rPr>
          <w:spacing w:val="-3"/>
          <w:sz w:val="28"/>
        </w:rPr>
        <w:t>信息烟囱：目前数据分散在各域近 </w:t>
      </w:r>
      <w:r>
        <w:rPr>
          <w:rFonts w:ascii="Times New Roman" w:hAnsi="Times New Roman" w:eastAsia="Times New Roman"/>
          <w:sz w:val="28"/>
        </w:rPr>
        <w:t>20</w:t>
      </w:r>
      <w:r>
        <w:rPr>
          <w:rFonts w:ascii="Times New Roman" w:hAnsi="Times New Roman" w:eastAsia="Times New Roman"/>
          <w:spacing w:val="-18"/>
          <w:sz w:val="28"/>
        </w:rPr>
        <w:t> </w:t>
      </w:r>
      <w:r>
        <w:rPr>
          <w:sz w:val="28"/>
        </w:rPr>
        <w:t>多套系统中，未</w:t>
      </w:r>
      <w:r>
        <w:rPr>
          <w:spacing w:val="-2"/>
          <w:sz w:val="28"/>
        </w:rPr>
        <w:t>有效整合，数据价值分散。</w:t>
      </w:r>
    </w:p>
    <w:p>
      <w:pPr>
        <w:pStyle w:val="ListParagraph"/>
        <w:numPr>
          <w:ilvl w:val="0"/>
          <w:numId w:val="19"/>
        </w:numPr>
        <w:tabs>
          <w:tab w:pos="3001" w:val="left" w:leader="none"/>
        </w:tabs>
        <w:spacing w:line="417" w:lineRule="auto" w:before="0" w:after="0"/>
        <w:ind w:left="2302" w:right="1318" w:firstLine="199"/>
        <w:jc w:val="both"/>
        <w:rPr>
          <w:sz w:val="28"/>
        </w:rPr>
      </w:pPr>
      <w:r>
        <w:rPr>
          <w:spacing w:val="-6"/>
          <w:sz w:val="28"/>
        </w:rPr>
        <w:t>技术标准不统一：各系统建设年代、承建公司不同，存</w:t>
      </w:r>
      <w:r>
        <w:rPr>
          <w:spacing w:val="-2"/>
          <w:sz w:val="28"/>
        </w:rPr>
        <w:t>在技术标准不统一问题</w:t>
      </w:r>
    </w:p>
    <w:p>
      <w:pPr>
        <w:pStyle w:val="ListParagraph"/>
        <w:numPr>
          <w:ilvl w:val="0"/>
          <w:numId w:val="19"/>
        </w:numPr>
        <w:tabs>
          <w:tab w:pos="3001" w:val="left" w:leader="none"/>
        </w:tabs>
        <w:spacing w:line="417" w:lineRule="auto" w:before="0" w:after="0"/>
        <w:ind w:left="2302" w:right="1314" w:firstLine="199"/>
        <w:jc w:val="both"/>
        <w:rPr>
          <w:sz w:val="28"/>
        </w:rPr>
      </w:pPr>
      <w:r>
        <w:rPr>
          <w:spacing w:val="-12"/>
          <w:sz w:val="28"/>
        </w:rPr>
        <w:t>安全保障：大数据资产管理安全管控和资源监控需要统</w:t>
      </w:r>
      <w:r>
        <w:rPr>
          <w:spacing w:val="-3"/>
          <w:sz w:val="28"/>
        </w:rPr>
        <w:t>一纳入到公司级 </w:t>
      </w:r>
      <w:r>
        <w:rPr>
          <w:rFonts w:ascii="Times New Roman" w:hAnsi="Times New Roman" w:eastAsia="Times New Roman"/>
          <w:sz w:val="28"/>
        </w:rPr>
        <w:t>4A</w:t>
      </w:r>
      <w:r>
        <w:rPr>
          <w:rFonts w:ascii="Times New Roman" w:hAnsi="Times New Roman" w:eastAsia="Times New Roman"/>
          <w:spacing w:val="44"/>
          <w:sz w:val="28"/>
        </w:rPr>
        <w:t> </w:t>
      </w:r>
      <w:r>
        <w:rPr>
          <w:sz w:val="28"/>
        </w:rPr>
        <w:t>系统。并制定数据全周期的安全管控措</w:t>
      </w:r>
      <w:r>
        <w:rPr>
          <w:spacing w:val="-2"/>
          <w:sz w:val="28"/>
        </w:rPr>
        <w:t>施和技术保障手段。</w:t>
      </w:r>
    </w:p>
    <w:p>
      <w:pPr>
        <w:pStyle w:val="BodyText"/>
        <w:spacing w:line="358" w:lineRule="exact"/>
        <w:ind w:left="1879"/>
        <w:rPr>
          <w:rFonts w:ascii="黑体" w:eastAsia="黑体"/>
        </w:rPr>
      </w:pPr>
      <w:r>
        <w:rPr>
          <w:rFonts w:ascii="黑体" w:eastAsia="黑体"/>
          <w:spacing w:val="-4"/>
        </w:rPr>
        <w:t>【实践路径】</w:t>
      </w:r>
    </w:p>
    <w:p>
      <w:pPr>
        <w:pStyle w:val="BodyText"/>
        <w:spacing w:before="7"/>
        <w:rPr>
          <w:rFonts w:ascii="黑体"/>
          <w:sz w:val="20"/>
        </w:rPr>
      </w:pPr>
    </w:p>
    <w:p>
      <w:pPr>
        <w:pStyle w:val="BodyText"/>
        <w:spacing w:line="417" w:lineRule="auto"/>
        <w:ind w:left="1320" w:right="1316" w:firstLine="559"/>
      </w:pPr>
      <w:r>
        <w:rPr>
          <w:spacing w:val="-10"/>
        </w:rPr>
        <w:t>针对现状，苏研按照</w:t>
      </w:r>
      <w:r>
        <w:rPr>
          <w:rFonts w:ascii="Times New Roman" w:hAnsi="Times New Roman" w:eastAsia="Times New Roman"/>
          <w:spacing w:val="-2"/>
        </w:rPr>
        <w:t>“</w:t>
      </w:r>
      <w:r>
        <w:rPr>
          <w:spacing w:val="-2"/>
        </w:rPr>
        <w:t>三段八步法</w:t>
      </w:r>
      <w:r>
        <w:rPr>
          <w:rFonts w:ascii="Times New Roman" w:hAnsi="Times New Roman" w:eastAsia="Times New Roman"/>
          <w:spacing w:val="-2"/>
        </w:rPr>
        <w:t>”</w:t>
      </w:r>
      <w:r>
        <w:rPr>
          <w:spacing w:val="-2"/>
        </w:rPr>
        <w:t>制定完整的数据资产管理实施</w:t>
      </w:r>
      <w:r>
        <w:rPr>
          <w:spacing w:val="-4"/>
        </w:rPr>
        <w:t>路径。</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93"/>
        <w:ind w:left="1329" w:right="1325" w:firstLine="0"/>
        <w:jc w:val="center"/>
        <w:rPr>
          <w:rFonts w:ascii="Times New Roman"/>
          <w:sz w:val="18"/>
        </w:rPr>
      </w:pPr>
      <w:r>
        <w:rPr>
          <w:rFonts w:ascii="Times New Roman"/>
          <w:spacing w:val="-5"/>
          <w:sz w:val="18"/>
        </w:rPr>
        <w:t>60</w:t>
      </w:r>
    </w:p>
    <w:p>
      <w:pPr>
        <w:spacing w:after="0"/>
        <w:jc w:val="center"/>
        <w:rPr>
          <w:rFonts w:ascii="Times New Roman"/>
          <w:sz w:val="18"/>
        </w:rPr>
        <w:sectPr>
          <w:headerReference w:type="default" r:id="rId77"/>
          <w:pgSz w:w="11910" w:h="16840"/>
          <w:pgMar w:header="877" w:footer="0" w:top="1100" w:bottom="280" w:left="480" w:right="480"/>
        </w:sectPr>
      </w:pPr>
    </w:p>
    <w:p>
      <w:pPr>
        <w:pStyle w:val="BodyText"/>
        <w:rPr>
          <w:rFonts w:ascii="Times New Roman"/>
          <w:sz w:val="20"/>
        </w:rPr>
      </w:pPr>
    </w:p>
    <w:p>
      <w:pPr>
        <w:pStyle w:val="BodyText"/>
        <w:spacing w:before="10"/>
        <w:rPr>
          <w:rFonts w:ascii="Times New Roman"/>
          <w:sz w:val="16"/>
        </w:rPr>
      </w:pPr>
    </w:p>
    <w:p>
      <w:pPr>
        <w:pStyle w:val="BodyText"/>
        <w:ind w:left="2311"/>
        <w:rPr>
          <w:rFonts w:ascii="Times New Roman"/>
          <w:sz w:val="20"/>
        </w:rPr>
      </w:pPr>
      <w:r>
        <w:rPr>
          <w:rFonts w:ascii="Times New Roman"/>
          <w:sz w:val="20"/>
        </w:rPr>
        <w:drawing>
          <wp:inline distT="0" distB="0" distL="0" distR="0">
            <wp:extent cx="4136464" cy="2224278"/>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79" cstate="print"/>
                    <a:stretch>
                      <a:fillRect/>
                    </a:stretch>
                  </pic:blipFill>
                  <pic:spPr>
                    <a:xfrm>
                      <a:off x="0" y="0"/>
                      <a:ext cx="4136464" cy="2224278"/>
                    </a:xfrm>
                    <a:prstGeom prst="rect">
                      <a:avLst/>
                    </a:prstGeom>
                  </pic:spPr>
                </pic:pic>
              </a:graphicData>
            </a:graphic>
          </wp:inline>
        </w:drawing>
      </w:r>
      <w:r>
        <w:rPr>
          <w:rFonts w:ascii="Times New Roman"/>
          <w:sz w:val="20"/>
        </w:rPr>
      </w:r>
    </w:p>
    <w:p>
      <w:pPr>
        <w:pStyle w:val="BodyText"/>
        <w:spacing w:before="8"/>
        <w:rPr>
          <w:rFonts w:ascii="Times New Roman"/>
          <w:sz w:val="12"/>
        </w:rPr>
      </w:pPr>
    </w:p>
    <w:p>
      <w:pPr>
        <w:spacing w:before="74"/>
        <w:ind w:left="1329" w:right="1151" w:firstLine="0"/>
        <w:jc w:val="center"/>
        <w:rPr>
          <w:sz w:val="24"/>
        </w:rPr>
      </w:pPr>
      <w:bookmarkStart w:name="_bookmark70" w:id="71"/>
      <w:bookmarkEnd w:id="71"/>
      <w:r>
        <w:rPr/>
      </w:r>
      <w:r>
        <w:rPr>
          <w:spacing w:val="7"/>
          <w:sz w:val="24"/>
        </w:rPr>
        <w:t>图 </w:t>
      </w:r>
      <w:r>
        <w:rPr>
          <w:rFonts w:ascii="Times New Roman" w:eastAsia="Times New Roman"/>
          <w:sz w:val="24"/>
        </w:rPr>
        <w:t>9</w:t>
      </w:r>
      <w:r>
        <w:rPr>
          <w:rFonts w:ascii="Times New Roman" w:eastAsia="Times New Roman"/>
          <w:spacing w:val="64"/>
          <w:sz w:val="24"/>
        </w:rPr>
        <w:t> </w:t>
      </w:r>
      <w:r>
        <w:rPr>
          <w:spacing w:val="12"/>
          <w:sz w:val="24"/>
        </w:rPr>
        <w:t>三段八步法</w:t>
      </w:r>
    </w:p>
    <w:p>
      <w:pPr>
        <w:pStyle w:val="BodyText"/>
        <w:spacing w:before="4"/>
        <w:rPr>
          <w:sz w:val="27"/>
        </w:rPr>
      </w:pPr>
    </w:p>
    <w:p>
      <w:pPr>
        <w:pStyle w:val="BodyText"/>
        <w:spacing w:before="61"/>
        <w:ind w:left="1879"/>
      </w:pPr>
      <w:r>
        <w:rPr>
          <w:spacing w:val="-4"/>
        </w:rPr>
        <w:t>第一阶段：规划</w:t>
      </w:r>
    </w:p>
    <w:p>
      <w:pPr>
        <w:pStyle w:val="BodyText"/>
        <w:spacing w:before="9"/>
        <w:rPr>
          <w:sz w:val="20"/>
        </w:rPr>
      </w:pPr>
    </w:p>
    <w:p>
      <w:pPr>
        <w:pStyle w:val="BodyText"/>
        <w:ind w:left="1879"/>
      </w:pPr>
      <w:r>
        <w:rPr>
          <w:spacing w:val="-3"/>
        </w:rPr>
        <w:t>第一步：数据资产管理咨询</w:t>
      </w:r>
    </w:p>
    <w:p>
      <w:pPr>
        <w:pStyle w:val="BodyText"/>
        <w:spacing w:before="9"/>
        <w:rPr>
          <w:sz w:val="20"/>
        </w:rPr>
      </w:pPr>
    </w:p>
    <w:p>
      <w:pPr>
        <w:pStyle w:val="BodyText"/>
        <w:spacing w:line="417" w:lineRule="auto"/>
        <w:ind w:left="1320" w:right="1318" w:firstLine="559"/>
      </w:pPr>
      <w:r>
        <w:rPr>
          <w:spacing w:val="-4"/>
        </w:rPr>
        <w:t>分析企业战略及业务现状、分析大数据现状及未来发展，分析数</w:t>
      </w:r>
      <w:r>
        <w:rPr>
          <w:spacing w:val="-2"/>
        </w:rPr>
        <w:t>据现状，确立数据资产管理目标。</w:t>
      </w:r>
    </w:p>
    <w:p>
      <w:pPr>
        <w:pStyle w:val="BodyText"/>
        <w:spacing w:line="358" w:lineRule="exact"/>
        <w:ind w:left="1879"/>
      </w:pPr>
      <w:r>
        <w:rPr>
          <w:spacing w:val="-3"/>
        </w:rPr>
        <w:t>第二步：组织责任体系架构</w:t>
      </w:r>
    </w:p>
    <w:p>
      <w:pPr>
        <w:pStyle w:val="BodyText"/>
        <w:spacing w:before="10"/>
        <w:rPr>
          <w:sz w:val="20"/>
        </w:rPr>
      </w:pPr>
    </w:p>
    <w:p>
      <w:pPr>
        <w:pStyle w:val="BodyText"/>
        <w:spacing w:line="417" w:lineRule="auto"/>
        <w:ind w:left="1320" w:right="1318" w:firstLine="559"/>
      </w:pPr>
      <w:r>
        <w:rPr>
          <w:spacing w:val="-4"/>
        </w:rPr>
        <w:t>明确各级角色和职责，保障数据资产管理的各项管理办法、工作</w:t>
      </w:r>
      <w:r>
        <w:rPr>
          <w:spacing w:val="-2"/>
        </w:rPr>
        <w:t>流程的实施，推送数据资产管理工作的有序开展。</w:t>
      </w:r>
    </w:p>
    <w:p>
      <w:pPr>
        <w:pStyle w:val="BodyText"/>
        <w:spacing w:line="358" w:lineRule="exact"/>
        <w:ind w:left="1879"/>
      </w:pPr>
      <w:r>
        <w:rPr>
          <w:spacing w:val="-4"/>
        </w:rPr>
        <w:t>第二阶段：治理</w:t>
      </w:r>
    </w:p>
    <w:p>
      <w:pPr>
        <w:pStyle w:val="BodyText"/>
        <w:spacing w:before="9"/>
        <w:rPr>
          <w:sz w:val="20"/>
        </w:rPr>
      </w:pPr>
    </w:p>
    <w:p>
      <w:pPr>
        <w:pStyle w:val="BodyText"/>
        <w:spacing w:line="417" w:lineRule="auto"/>
        <w:ind w:left="1320" w:right="1313" w:firstLine="559"/>
      </w:pPr>
      <w:r>
        <w:rPr>
          <w:spacing w:val="-4"/>
        </w:rPr>
        <w:t>第三步：梳理数据，建立标准。包括字段标准、元数据模型、数</w:t>
      </w:r>
      <w:r>
        <w:rPr>
          <w:spacing w:val="-2"/>
        </w:rPr>
        <w:t>据质量标准、数据隐私字段等。</w:t>
      </w:r>
    </w:p>
    <w:p>
      <w:pPr>
        <w:pStyle w:val="BodyText"/>
        <w:spacing w:line="417" w:lineRule="auto"/>
        <w:ind w:left="1320" w:right="1455" w:firstLine="559"/>
      </w:pPr>
      <w:r>
        <w:rPr>
          <w:spacing w:val="-6"/>
        </w:rPr>
        <w:t>第四步：搭建平台。实施上线大数据平台（</w:t>
      </w:r>
      <w:r>
        <w:rPr>
          <w:spacing w:val="-14"/>
        </w:rPr>
        <w:t>苏研 </w:t>
      </w:r>
      <w:r>
        <w:rPr>
          <w:rFonts w:ascii="Times New Roman" w:eastAsia="Times New Roman"/>
          <w:spacing w:val="-6"/>
        </w:rPr>
        <w:t>BC-</w:t>
      </w:r>
      <w:r>
        <w:rPr>
          <w:rFonts w:ascii="Times New Roman" w:eastAsia="Times New Roman"/>
          <w:spacing w:val="13"/>
        </w:rPr>
        <w:t>H</w:t>
      </w:r>
      <w:r>
        <w:rPr>
          <w:rFonts w:ascii="Times New Roman" w:eastAsia="Times New Roman"/>
          <w:spacing w:val="12"/>
        </w:rPr>
        <w:t>a</w:t>
      </w:r>
      <w:r>
        <w:rPr>
          <w:rFonts w:ascii="Times New Roman" w:eastAsia="Times New Roman"/>
          <w:spacing w:val="13"/>
        </w:rPr>
        <w:t>d</w:t>
      </w:r>
      <w:r>
        <w:rPr>
          <w:rFonts w:ascii="Times New Roman" w:eastAsia="Times New Roman"/>
          <w:spacing w:val="15"/>
        </w:rPr>
        <w:t>o</w:t>
      </w:r>
      <w:r>
        <w:rPr>
          <w:rFonts w:ascii="Times New Roman" w:eastAsia="Times New Roman"/>
          <w:spacing w:val="13"/>
        </w:rPr>
        <w:t>o</w:t>
      </w:r>
      <w:r>
        <w:rPr>
          <w:rFonts w:ascii="Times New Roman" w:eastAsia="Times New Roman"/>
          <w:spacing w:val="14"/>
        </w:rPr>
        <w:t>p</w:t>
      </w:r>
      <w:r>
        <w:rPr>
          <w:spacing w:val="-125"/>
        </w:rPr>
        <w:t>）</w:t>
      </w:r>
      <w:r>
        <w:rPr>
          <w:spacing w:val="-140"/>
        </w:rPr>
        <w:t>、</w:t>
      </w:r>
      <w:r>
        <w:rPr>
          <w:spacing w:val="-4"/>
        </w:rPr>
        <w:t> </w:t>
      </w:r>
      <w:r>
        <w:rPr>
          <w:rFonts w:ascii="Times New Roman" w:eastAsia="Times New Roman"/>
          <w:spacing w:val="-4"/>
        </w:rPr>
        <w:t>ETL</w:t>
      </w:r>
      <w:r>
        <w:rPr>
          <w:spacing w:val="-4"/>
        </w:rPr>
        <w:t>（</w:t>
      </w:r>
      <w:r>
        <w:rPr>
          <w:spacing w:val="-26"/>
        </w:rPr>
        <w:t>苏研 </w:t>
      </w:r>
      <w:r>
        <w:rPr>
          <w:rFonts w:ascii="Times New Roman" w:eastAsia="Times New Roman"/>
          <w:spacing w:val="-4"/>
        </w:rPr>
        <w:t>BC-</w:t>
      </w:r>
      <w:r>
        <w:rPr>
          <w:rFonts w:ascii="Times New Roman" w:eastAsia="Times New Roman"/>
          <w:spacing w:val="30"/>
        </w:rPr>
        <w:t>ET</w:t>
      </w:r>
      <w:r>
        <w:rPr>
          <w:rFonts w:ascii="Times New Roman" w:eastAsia="Times New Roman"/>
          <w:spacing w:val="29"/>
        </w:rPr>
        <w:t>L</w:t>
      </w:r>
      <w:r>
        <w:rPr>
          <w:spacing w:val="-108"/>
        </w:rPr>
        <w:t>）</w:t>
      </w:r>
      <w:r>
        <w:rPr>
          <w:spacing w:val="-4"/>
        </w:rPr>
        <w:t>、数据资产管理系统（</w:t>
      </w:r>
      <w:r>
        <w:rPr>
          <w:spacing w:val="-27"/>
        </w:rPr>
        <w:t>苏研 </w:t>
      </w:r>
      <w:r>
        <w:rPr>
          <w:rFonts w:ascii="Times New Roman" w:eastAsia="Times New Roman"/>
          <w:spacing w:val="-4"/>
        </w:rPr>
        <w:t>BC-</w:t>
      </w:r>
      <w:r>
        <w:rPr>
          <w:rFonts w:ascii="Times New Roman" w:eastAsia="Times New Roman"/>
          <w:spacing w:val="42"/>
        </w:rPr>
        <w:t>D</w:t>
      </w:r>
      <w:r>
        <w:rPr>
          <w:rFonts w:ascii="Times New Roman" w:eastAsia="Times New Roman"/>
          <w:spacing w:val="41"/>
        </w:rPr>
        <w:t>M</w:t>
      </w:r>
      <w:r>
        <w:rPr>
          <w:spacing w:val="-96"/>
        </w:rPr>
        <w:t>）</w:t>
      </w:r>
      <w:r>
        <w:rPr>
          <w:spacing w:val="-140"/>
        </w:rPr>
        <w:t>。</w:t>
      </w:r>
    </w:p>
    <w:p>
      <w:pPr>
        <w:pStyle w:val="BodyText"/>
        <w:spacing w:line="417" w:lineRule="auto"/>
        <w:ind w:left="1320" w:right="1318" w:firstLine="559"/>
      </w:pPr>
      <w:r>
        <w:rPr>
          <w:spacing w:val="-25"/>
        </w:rPr>
        <w:t>第五步：治理实施。包括数据采集、处理、存储、元数据、规则、</w:t>
      </w:r>
      <w:r>
        <w:rPr>
          <w:spacing w:val="-2"/>
        </w:rPr>
        <w:t>监控、安全等各项数据资产管理工作配置及实施。</w:t>
      </w:r>
    </w:p>
    <w:p>
      <w:pPr>
        <w:pStyle w:val="BodyText"/>
        <w:spacing w:line="358" w:lineRule="exact"/>
        <w:ind w:left="1879"/>
      </w:pPr>
      <w:r>
        <w:rPr>
          <w:spacing w:val="-7"/>
        </w:rPr>
        <w:t>第六步：数据资产化。包括数据资产生命周期管理、数据资产价</w:t>
      </w:r>
    </w:p>
    <w:p>
      <w:pPr>
        <w:pStyle w:val="BodyText"/>
        <w:rPr>
          <w:sz w:val="20"/>
        </w:rPr>
      </w:pPr>
    </w:p>
    <w:p>
      <w:pPr>
        <w:pStyle w:val="BodyText"/>
        <w:spacing w:before="1"/>
        <w:rPr>
          <w:sz w:val="16"/>
        </w:rPr>
      </w:pPr>
    </w:p>
    <w:p>
      <w:pPr>
        <w:spacing w:before="92"/>
        <w:ind w:left="1329" w:right="1325" w:firstLine="0"/>
        <w:jc w:val="center"/>
        <w:rPr>
          <w:rFonts w:ascii="Times New Roman"/>
          <w:sz w:val="18"/>
        </w:rPr>
      </w:pPr>
      <w:r>
        <w:rPr>
          <w:rFonts w:ascii="Times New Roman"/>
          <w:spacing w:val="-5"/>
          <w:sz w:val="18"/>
        </w:rPr>
        <w:t>61</w:t>
      </w:r>
    </w:p>
    <w:p>
      <w:pPr>
        <w:spacing w:after="0"/>
        <w:jc w:val="center"/>
        <w:rPr>
          <w:rFonts w:ascii="Times New Roman"/>
          <w:sz w:val="18"/>
        </w:rPr>
        <w:sectPr>
          <w:headerReference w:type="default" r:id="rId78"/>
          <w:pgSz w:w="11910" w:h="16840"/>
          <w:pgMar w:header="877" w:footer="0" w:top="1100" w:bottom="280" w:left="480" w:right="480"/>
        </w:sectPr>
      </w:pPr>
    </w:p>
    <w:p>
      <w:pPr>
        <w:pStyle w:val="BodyText"/>
        <w:rPr>
          <w:rFonts w:ascii="Times New Roman"/>
          <w:sz w:val="20"/>
        </w:rPr>
      </w:pPr>
    </w:p>
    <w:p>
      <w:pPr>
        <w:pStyle w:val="BodyText"/>
        <w:spacing w:line="417" w:lineRule="auto" w:before="225"/>
        <w:ind w:left="1879" w:right="1784" w:hanging="560"/>
      </w:pPr>
      <w:r>
        <w:rPr>
          <w:spacing w:val="-2"/>
        </w:rPr>
        <w:t>值评估、数据资产分级处置、数据资产视图、资产服务目录等。</w:t>
      </w:r>
      <w:r>
        <w:rPr>
          <w:spacing w:val="-2"/>
        </w:rPr>
        <w:t>第三阶段：长效</w:t>
      </w:r>
    </w:p>
    <w:p>
      <w:pPr>
        <w:pStyle w:val="BodyText"/>
        <w:spacing w:line="417" w:lineRule="auto"/>
        <w:ind w:left="1320" w:right="1318" w:firstLine="559"/>
        <w:jc w:val="both"/>
      </w:pPr>
      <w:r>
        <w:rPr>
          <w:spacing w:val="-4"/>
        </w:rPr>
        <w:t>第七步：数据资产运营流通。加强管理运营手段和方式方法，促</w:t>
      </w:r>
      <w:r>
        <w:rPr>
          <w:spacing w:val="-4"/>
        </w:rPr>
        <w:t>进数据资产对内支撑业务应用，对外形成数据服务能力，打造数据资</w:t>
      </w:r>
      <w:r>
        <w:rPr>
          <w:spacing w:val="-2"/>
        </w:rPr>
        <w:t>产综合运营能力。</w:t>
      </w:r>
    </w:p>
    <w:p>
      <w:pPr>
        <w:pStyle w:val="BodyText"/>
        <w:spacing w:line="417" w:lineRule="auto"/>
        <w:ind w:left="1320" w:right="1313" w:firstLine="559"/>
        <w:jc w:val="both"/>
      </w:pPr>
      <w:r>
        <w:rPr>
          <w:spacing w:val="-4"/>
        </w:rPr>
        <w:t>第八步：能力成熟度评估与优化。从数据风险管理及合规性、数</w:t>
      </w:r>
      <w:r>
        <w:rPr>
          <w:spacing w:val="-9"/>
        </w:rPr>
        <w:t>据资产价值创造、组织结构优化、数据质量管理等方面不断优化数据</w:t>
      </w:r>
      <w:r>
        <w:rPr>
          <w:spacing w:val="-2"/>
        </w:rPr>
        <w:t>资产管理能力。</w:t>
      </w:r>
    </w:p>
    <w:p>
      <w:pPr>
        <w:pStyle w:val="BodyText"/>
        <w:ind w:left="1879"/>
        <w:rPr>
          <w:rFonts w:ascii="黑体" w:eastAsia="黑体"/>
        </w:rPr>
      </w:pPr>
      <w:r>
        <w:rPr>
          <w:rFonts w:ascii="黑体" w:eastAsia="黑体"/>
          <w:spacing w:val="-4"/>
        </w:rPr>
        <w:t>【应用效果】</w:t>
      </w:r>
    </w:p>
    <w:p>
      <w:pPr>
        <w:pStyle w:val="BodyText"/>
        <w:spacing w:before="7"/>
        <w:rPr>
          <w:rFonts w:ascii="黑体"/>
          <w:sz w:val="20"/>
        </w:rPr>
      </w:pPr>
    </w:p>
    <w:p>
      <w:pPr>
        <w:pStyle w:val="BodyText"/>
        <w:ind w:left="1879"/>
      </w:pPr>
      <w:r>
        <w:rPr>
          <w:spacing w:val="-3"/>
        </w:rPr>
        <w:t>系统上线以来，取得了良好的管理和治理效果，主要表现为：</w:t>
      </w:r>
    </w:p>
    <w:p>
      <w:pPr>
        <w:pStyle w:val="BodyText"/>
        <w:spacing w:before="9"/>
        <w:rPr>
          <w:sz w:val="20"/>
        </w:rPr>
      </w:pPr>
    </w:p>
    <w:p>
      <w:pPr>
        <w:pStyle w:val="ListParagraph"/>
        <w:numPr>
          <w:ilvl w:val="0"/>
          <w:numId w:val="20"/>
        </w:numPr>
        <w:tabs>
          <w:tab w:pos="3001" w:val="left" w:leader="none"/>
        </w:tabs>
        <w:spacing w:line="417" w:lineRule="auto" w:before="0" w:after="0"/>
        <w:ind w:left="2222" w:right="1316" w:firstLine="199"/>
        <w:jc w:val="both"/>
        <w:rPr>
          <w:sz w:val="28"/>
        </w:rPr>
      </w:pPr>
      <w:r>
        <w:rPr>
          <w:spacing w:val="-6"/>
          <w:sz w:val="28"/>
        </w:rPr>
        <w:t>建立了完善的组织架构，工作流程、角色职责清晰，数</w:t>
      </w:r>
      <w:r>
        <w:rPr>
          <w:spacing w:val="-2"/>
          <w:sz w:val="28"/>
        </w:rPr>
        <w:t>据资产管理工作井然有序。</w:t>
      </w:r>
    </w:p>
    <w:p>
      <w:pPr>
        <w:pStyle w:val="ListParagraph"/>
        <w:numPr>
          <w:ilvl w:val="0"/>
          <w:numId w:val="20"/>
        </w:numPr>
        <w:tabs>
          <w:tab w:pos="3001" w:val="left" w:leader="none"/>
        </w:tabs>
        <w:spacing w:line="417" w:lineRule="auto" w:before="0" w:after="0"/>
        <w:ind w:left="2222" w:right="1317" w:firstLine="199"/>
        <w:jc w:val="both"/>
        <w:rPr>
          <w:sz w:val="28"/>
        </w:rPr>
      </w:pPr>
      <w:r>
        <w:rPr>
          <w:spacing w:val="-12"/>
          <w:sz w:val="28"/>
        </w:rPr>
        <w:t>数据标准化管理方面，制定大数据平台数据标准化管理</w:t>
      </w:r>
      <w:r>
        <w:rPr>
          <w:spacing w:val="-6"/>
          <w:sz w:val="28"/>
        </w:rPr>
        <w:t>规范，开发前端界面，建立从标准数据的录入、申请、审批、</w:t>
      </w:r>
      <w:r>
        <w:rPr>
          <w:spacing w:val="-2"/>
          <w:sz w:val="28"/>
        </w:rPr>
        <w:t>修改、发布、稽核的闭环管理。截止目前为止已导入和使用</w:t>
      </w:r>
      <w:r>
        <w:rPr>
          <w:spacing w:val="-12"/>
          <w:sz w:val="28"/>
        </w:rPr>
        <w:t>近 </w:t>
      </w:r>
      <w:r>
        <w:rPr>
          <w:rFonts w:ascii="Times New Roman" w:hAnsi="Times New Roman" w:eastAsia="Times New Roman"/>
          <w:sz w:val="28"/>
        </w:rPr>
        <w:t>4000 </w:t>
      </w:r>
      <w:r>
        <w:rPr>
          <w:sz w:val="28"/>
        </w:rPr>
        <w:t>个标准字段。</w:t>
      </w:r>
    </w:p>
    <w:p>
      <w:pPr>
        <w:pStyle w:val="ListParagraph"/>
        <w:numPr>
          <w:ilvl w:val="0"/>
          <w:numId w:val="20"/>
        </w:numPr>
        <w:tabs>
          <w:tab w:pos="3001" w:val="left" w:leader="none"/>
        </w:tabs>
        <w:spacing w:line="417" w:lineRule="auto" w:before="0" w:after="0"/>
        <w:ind w:left="2222" w:right="1313" w:firstLine="199"/>
        <w:jc w:val="both"/>
        <w:rPr>
          <w:sz w:val="28"/>
        </w:rPr>
      </w:pPr>
      <w:r>
        <w:rPr>
          <w:sz w:val="28"/>
        </w:rPr>
        <w:t>元数据管理方面，实现了事前元数据管理；提供血缘</w:t>
      </w:r>
      <w:r>
        <w:rPr>
          <w:rFonts w:ascii="Times New Roman" w:hAnsi="Times New Roman" w:eastAsia="Times New Roman"/>
          <w:sz w:val="28"/>
        </w:rPr>
        <w:t>/</w:t>
      </w:r>
      <w:r>
        <w:rPr>
          <w:spacing w:val="-2"/>
          <w:sz w:val="28"/>
        </w:rPr>
        <w:t>影响分析功能，并在统一运维管理中提供基于元数据的运维</w:t>
      </w:r>
      <w:r>
        <w:rPr>
          <w:sz w:val="28"/>
        </w:rPr>
        <w:t>故障程序的血缘分析、便于问题定位。支持 </w:t>
      </w:r>
      <w:r>
        <w:rPr>
          <w:rFonts w:ascii="Times New Roman" w:hAnsi="Times New Roman" w:eastAsia="Times New Roman"/>
          <w:sz w:val="28"/>
        </w:rPr>
        <w:t>Hive</w:t>
      </w:r>
      <w:r>
        <w:rPr>
          <w:sz w:val="28"/>
        </w:rPr>
        <w:t>，</w:t>
      </w:r>
      <w:r>
        <w:rPr>
          <w:rFonts w:ascii="Times New Roman" w:hAnsi="Times New Roman" w:eastAsia="Times New Roman"/>
          <w:sz w:val="28"/>
        </w:rPr>
        <w:t>HBase</w:t>
      </w:r>
      <w:r>
        <w:rPr>
          <w:sz w:val="28"/>
        </w:rPr>
        <w:t>， </w:t>
      </w:r>
      <w:r>
        <w:rPr>
          <w:rFonts w:ascii="Times New Roman" w:hAnsi="Times New Roman" w:eastAsia="Times New Roman"/>
          <w:sz w:val="28"/>
        </w:rPr>
        <w:t>GBase</w:t>
      </w:r>
      <w:r>
        <w:rPr>
          <w:rFonts w:ascii="Times New Roman" w:hAnsi="Times New Roman" w:eastAsia="Times New Roman"/>
          <w:spacing w:val="-18"/>
          <w:sz w:val="28"/>
        </w:rPr>
        <w:t> </w:t>
      </w:r>
      <w:r>
        <w:rPr>
          <w:spacing w:val="-12"/>
          <w:sz w:val="28"/>
        </w:rPr>
        <w:t>等数据仓库，并支持多种业务元数据属性标签，目前已</w:t>
      </w:r>
      <w:r>
        <w:rPr>
          <w:spacing w:val="-2"/>
          <w:sz w:val="28"/>
        </w:rPr>
        <w:t>管理元数据模型达到近 </w:t>
      </w:r>
      <w:r>
        <w:rPr>
          <w:rFonts w:ascii="Times New Roman" w:hAnsi="Times New Roman" w:eastAsia="Times New Roman"/>
          <w:sz w:val="28"/>
        </w:rPr>
        <w:t>1500 </w:t>
      </w:r>
      <w:r>
        <w:rPr>
          <w:sz w:val="28"/>
        </w:rPr>
        <w:t>个。</w:t>
      </w:r>
    </w:p>
    <w:p>
      <w:pPr>
        <w:pStyle w:val="ListParagraph"/>
        <w:numPr>
          <w:ilvl w:val="0"/>
          <w:numId w:val="20"/>
        </w:numPr>
        <w:tabs>
          <w:tab w:pos="3001" w:val="left" w:leader="none"/>
        </w:tabs>
        <w:spacing w:line="358" w:lineRule="exact" w:before="0" w:after="0"/>
        <w:ind w:left="3000" w:right="0" w:hanging="579"/>
        <w:jc w:val="both"/>
        <w:rPr>
          <w:sz w:val="28"/>
        </w:rPr>
      </w:pPr>
      <w:r>
        <w:rPr>
          <w:spacing w:val="-1"/>
          <w:sz w:val="28"/>
        </w:rPr>
        <w:t>数据质量管理方面，实现数据质量规则的增、删、改、</w:t>
      </w:r>
    </w:p>
    <w:p>
      <w:pPr>
        <w:pStyle w:val="BodyText"/>
        <w:spacing w:before="5"/>
        <w:rPr>
          <w:sz w:val="22"/>
        </w:rPr>
      </w:pPr>
    </w:p>
    <w:p>
      <w:pPr>
        <w:spacing w:before="92"/>
        <w:ind w:left="1329" w:right="1325" w:firstLine="0"/>
        <w:jc w:val="center"/>
        <w:rPr>
          <w:rFonts w:ascii="Times New Roman"/>
          <w:sz w:val="18"/>
        </w:rPr>
      </w:pPr>
      <w:r>
        <w:rPr>
          <w:rFonts w:ascii="Times New Roman"/>
          <w:spacing w:val="-5"/>
          <w:sz w:val="18"/>
        </w:rPr>
        <w:t>62</w:t>
      </w:r>
    </w:p>
    <w:p>
      <w:pPr>
        <w:spacing w:after="0"/>
        <w:jc w:val="center"/>
        <w:rPr>
          <w:rFonts w:ascii="Times New Roman"/>
          <w:sz w:val="18"/>
        </w:rPr>
        <w:sectPr>
          <w:headerReference w:type="default" r:id="rId80"/>
          <w:pgSz w:w="11910" w:h="16840"/>
          <w:pgMar w:header="877" w:footer="0" w:top="1100" w:bottom="280" w:left="480" w:right="480"/>
        </w:sectPr>
      </w:pPr>
    </w:p>
    <w:p>
      <w:pPr>
        <w:pStyle w:val="BodyText"/>
        <w:rPr>
          <w:rFonts w:ascii="Times New Roman"/>
          <w:sz w:val="20"/>
        </w:rPr>
      </w:pPr>
    </w:p>
    <w:p>
      <w:pPr>
        <w:pStyle w:val="BodyText"/>
        <w:spacing w:line="417" w:lineRule="auto" w:before="225"/>
        <w:ind w:left="2222" w:right="1321"/>
        <w:jc w:val="both"/>
      </w:pPr>
      <w:r>
        <w:rPr>
          <w:spacing w:val="-2"/>
        </w:rPr>
        <w:t>查，并通过规则完成数据质量稽核，生成质量报告。同时支</w:t>
      </w:r>
      <w:r>
        <w:rPr>
          <w:spacing w:val="-2"/>
        </w:rPr>
        <w:t>持数据质量分段管控，围绕从源数据接入大数据平台到应用</w:t>
      </w:r>
      <w:r>
        <w:rPr>
          <w:spacing w:val="-2"/>
        </w:rPr>
        <w:t>输出的全过程开展数据质量监控，可以实时掌握数据质量情</w:t>
      </w:r>
      <w:r>
        <w:rPr>
          <w:spacing w:val="-6"/>
        </w:rPr>
        <w:t>况。</w:t>
      </w:r>
    </w:p>
    <w:p>
      <w:pPr>
        <w:pStyle w:val="ListParagraph"/>
        <w:numPr>
          <w:ilvl w:val="0"/>
          <w:numId w:val="20"/>
        </w:numPr>
        <w:tabs>
          <w:tab w:pos="3001" w:val="left" w:leader="none"/>
        </w:tabs>
        <w:spacing w:line="417" w:lineRule="auto" w:before="0" w:after="0"/>
        <w:ind w:left="2222" w:right="1317" w:firstLine="199"/>
        <w:jc w:val="both"/>
        <w:rPr>
          <w:sz w:val="28"/>
        </w:rPr>
      </w:pPr>
      <w:r>
        <w:rPr>
          <w:spacing w:val="-6"/>
          <w:sz w:val="28"/>
        </w:rPr>
        <w:t>数据资产管理方面。实现了资产全生命周期管理、资产</w:t>
      </w:r>
      <w:r>
        <w:rPr>
          <w:spacing w:val="-2"/>
          <w:sz w:val="28"/>
        </w:rPr>
        <w:t>地图、资产价值评估及运行审计、数据资产服务接口等。已</w:t>
      </w:r>
      <w:r>
        <w:rPr>
          <w:spacing w:val="-2"/>
          <w:sz w:val="28"/>
        </w:rPr>
        <w:t>经形成数据资产综合运营能力。</w:t>
      </w:r>
    </w:p>
    <w:p>
      <w:pPr>
        <w:pStyle w:val="ListParagraph"/>
        <w:numPr>
          <w:ilvl w:val="0"/>
          <w:numId w:val="20"/>
        </w:numPr>
        <w:tabs>
          <w:tab w:pos="3001" w:val="left" w:leader="none"/>
        </w:tabs>
        <w:spacing w:line="417" w:lineRule="auto" w:before="0" w:after="0"/>
        <w:ind w:left="2222" w:right="1315" w:firstLine="199"/>
        <w:jc w:val="both"/>
        <w:rPr>
          <w:sz w:val="28"/>
        </w:rPr>
      </w:pPr>
      <w:r>
        <w:rPr>
          <w:spacing w:val="-6"/>
          <w:sz w:val="28"/>
        </w:rPr>
        <w:t>数据安全管理，全面实现了数据访问安全、数据服务安</w:t>
      </w:r>
      <w:r>
        <w:rPr>
          <w:spacing w:val="-2"/>
          <w:sz w:val="28"/>
        </w:rPr>
        <w:t>全、数据存储安全、平台组件安全、业务流程安全。具备完</w:t>
      </w:r>
      <w:r>
        <w:rPr>
          <w:spacing w:val="-12"/>
          <w:sz w:val="28"/>
        </w:rPr>
        <w:t>整的 </w:t>
      </w:r>
      <w:r>
        <w:rPr>
          <w:rFonts w:ascii="Times New Roman" w:hAnsi="Times New Roman" w:eastAsia="Times New Roman"/>
          <w:sz w:val="28"/>
        </w:rPr>
        <w:t>ETL </w:t>
      </w:r>
      <w:r>
        <w:rPr>
          <w:sz w:val="28"/>
        </w:rPr>
        <w:t>过程加密、</w:t>
      </w:r>
      <w:r>
        <w:rPr>
          <w:rFonts w:ascii="Times New Roman" w:hAnsi="Times New Roman" w:eastAsia="Times New Roman"/>
          <w:sz w:val="28"/>
        </w:rPr>
        <w:t>HDFS </w:t>
      </w:r>
      <w:r>
        <w:rPr>
          <w:sz w:val="28"/>
        </w:rPr>
        <w:t>透明加密、字段级、表级、用户</w:t>
      </w:r>
      <w:r>
        <w:rPr>
          <w:spacing w:val="-2"/>
          <w:sz w:val="28"/>
        </w:rPr>
        <w:t>级、目录和文件级的隔离、数字水印、数据脱敏、安全令牌</w:t>
      </w:r>
      <w:r>
        <w:rPr>
          <w:spacing w:val="-2"/>
          <w:sz w:val="28"/>
        </w:rPr>
        <w:t>管理、服务攻击检测等特性。</w:t>
      </w:r>
    </w:p>
    <w:p>
      <w:pPr>
        <w:pStyle w:val="BodyText"/>
        <w:spacing w:line="358" w:lineRule="exact"/>
        <w:ind w:left="1879"/>
        <w:rPr>
          <w:rFonts w:ascii="黑体" w:eastAsia="黑体"/>
        </w:rPr>
      </w:pPr>
      <w:r>
        <w:rPr>
          <w:rFonts w:ascii="黑体" w:eastAsia="黑体"/>
          <w:spacing w:val="-4"/>
        </w:rPr>
        <w:t>【洞察启示】</w:t>
      </w:r>
    </w:p>
    <w:p>
      <w:pPr>
        <w:pStyle w:val="BodyText"/>
        <w:spacing w:before="7"/>
        <w:rPr>
          <w:rFonts w:ascii="黑体"/>
          <w:sz w:val="20"/>
        </w:rPr>
      </w:pPr>
    </w:p>
    <w:p>
      <w:pPr>
        <w:pStyle w:val="ListParagraph"/>
        <w:numPr>
          <w:ilvl w:val="0"/>
          <w:numId w:val="20"/>
        </w:numPr>
        <w:tabs>
          <w:tab w:pos="3001" w:val="left" w:leader="none"/>
        </w:tabs>
        <w:spacing w:line="417" w:lineRule="auto" w:before="1" w:after="0"/>
        <w:ind w:left="2222" w:right="1313" w:firstLine="199"/>
        <w:jc w:val="both"/>
        <w:rPr>
          <w:sz w:val="28"/>
        </w:rPr>
      </w:pPr>
      <w:r>
        <w:rPr>
          <w:spacing w:val="-9"/>
          <w:sz w:val="28"/>
        </w:rPr>
        <w:t>重视组织的价值，责权利清晰化，数据资产管理工作才</w:t>
      </w:r>
      <w:r>
        <w:rPr>
          <w:spacing w:val="-2"/>
          <w:sz w:val="28"/>
        </w:rPr>
        <w:t>能减少阻碍，推进得当。</w:t>
      </w:r>
    </w:p>
    <w:p>
      <w:pPr>
        <w:pStyle w:val="ListParagraph"/>
        <w:numPr>
          <w:ilvl w:val="0"/>
          <w:numId w:val="20"/>
        </w:numPr>
        <w:tabs>
          <w:tab w:pos="3001" w:val="left" w:leader="none"/>
        </w:tabs>
        <w:spacing w:line="417" w:lineRule="auto" w:before="0" w:after="0"/>
        <w:ind w:left="2222" w:right="1316" w:firstLine="199"/>
        <w:jc w:val="both"/>
        <w:rPr>
          <w:sz w:val="28"/>
        </w:rPr>
      </w:pPr>
      <w:r>
        <w:rPr>
          <w:spacing w:val="-7"/>
          <w:sz w:val="28"/>
        </w:rPr>
        <w:t>数据标准管理是数据管理建设中的重要环节，是衡量企</w:t>
      </w:r>
      <w:r>
        <w:rPr>
          <w:spacing w:val="-2"/>
          <w:sz w:val="28"/>
        </w:rPr>
        <w:t>业级省大数据平台数据资产运营和管理水平的评估依据。数</w:t>
      </w:r>
      <w:r>
        <w:rPr>
          <w:spacing w:val="-16"/>
          <w:sz w:val="28"/>
        </w:rPr>
        <w:t>据标准规划、数据标准化实施、数据标准支撑工作都要到位。</w:t>
      </w:r>
    </w:p>
    <w:p>
      <w:pPr>
        <w:pStyle w:val="ListParagraph"/>
        <w:numPr>
          <w:ilvl w:val="0"/>
          <w:numId w:val="20"/>
        </w:numPr>
        <w:tabs>
          <w:tab w:pos="3001" w:val="left" w:leader="none"/>
        </w:tabs>
        <w:spacing w:line="417" w:lineRule="auto" w:before="0" w:after="0"/>
        <w:ind w:left="2222" w:right="1314" w:firstLine="199"/>
        <w:jc w:val="both"/>
        <w:rPr>
          <w:sz w:val="28"/>
        </w:rPr>
      </w:pPr>
      <w:r>
        <w:rPr>
          <w:spacing w:val="-4"/>
          <w:sz w:val="28"/>
        </w:rPr>
        <w:t>通过技术创新，推动自动化、智能化、安全化的大数据</w:t>
      </w:r>
      <w:r>
        <w:rPr>
          <w:sz w:val="28"/>
        </w:rPr>
        <w:t>资产管理方式，引入机器学习和人工智能提升传统数据资产</w:t>
      </w:r>
      <w:r>
        <w:rPr>
          <w:spacing w:val="-2"/>
          <w:sz w:val="28"/>
        </w:rPr>
        <w:t>管理技术能力。</w:t>
      </w:r>
    </w:p>
    <w:p>
      <w:pPr>
        <w:pStyle w:val="ListParagraph"/>
        <w:numPr>
          <w:ilvl w:val="0"/>
          <w:numId w:val="20"/>
        </w:numPr>
        <w:tabs>
          <w:tab w:pos="3001" w:val="left" w:leader="none"/>
        </w:tabs>
        <w:spacing w:line="358" w:lineRule="exact" w:before="0" w:after="0"/>
        <w:ind w:left="3000" w:right="0" w:hanging="579"/>
        <w:jc w:val="both"/>
        <w:rPr>
          <w:sz w:val="28"/>
        </w:rPr>
      </w:pPr>
      <w:r>
        <w:rPr>
          <w:spacing w:val="-8"/>
          <w:sz w:val="28"/>
        </w:rPr>
        <w:t>数据资产的综合运营是数据资产管理的核心目的，也是</w:t>
      </w:r>
    </w:p>
    <w:p>
      <w:pPr>
        <w:pStyle w:val="BodyText"/>
        <w:rPr>
          <w:sz w:val="20"/>
        </w:rPr>
      </w:pPr>
    </w:p>
    <w:p>
      <w:pPr>
        <w:pStyle w:val="BodyText"/>
        <w:spacing w:before="5"/>
        <w:rPr>
          <w:sz w:val="19"/>
        </w:rPr>
      </w:pPr>
    </w:p>
    <w:p>
      <w:pPr>
        <w:spacing w:before="92"/>
        <w:ind w:left="1329" w:right="1325" w:firstLine="0"/>
        <w:jc w:val="center"/>
        <w:rPr>
          <w:rFonts w:ascii="Times New Roman"/>
          <w:sz w:val="18"/>
        </w:rPr>
      </w:pPr>
      <w:r>
        <w:rPr>
          <w:rFonts w:ascii="Times New Roman"/>
          <w:spacing w:val="-5"/>
          <w:sz w:val="18"/>
        </w:rPr>
        <w:t>63</w:t>
      </w:r>
    </w:p>
    <w:p>
      <w:pPr>
        <w:spacing w:after="0"/>
        <w:jc w:val="center"/>
        <w:rPr>
          <w:rFonts w:ascii="Times New Roman"/>
          <w:sz w:val="18"/>
        </w:rPr>
        <w:sectPr>
          <w:headerReference w:type="default" r:id="rId81"/>
          <w:pgSz w:w="11910" w:h="16840"/>
          <w:pgMar w:header="877" w:footer="0" w:top="1100" w:bottom="280" w:left="480" w:right="480"/>
        </w:sectPr>
      </w:pPr>
    </w:p>
    <w:p>
      <w:pPr>
        <w:pStyle w:val="BodyText"/>
        <w:rPr>
          <w:rFonts w:ascii="Times New Roman"/>
          <w:sz w:val="20"/>
        </w:rPr>
      </w:pPr>
    </w:p>
    <w:p>
      <w:pPr>
        <w:pStyle w:val="BodyText"/>
        <w:spacing w:line="417" w:lineRule="auto" w:before="225"/>
        <w:ind w:left="2222" w:right="1319"/>
      </w:pPr>
      <w:r>
        <w:rPr>
          <w:spacing w:val="-2"/>
        </w:rPr>
        <w:t>让数据资产管理成为利润中心的根本，对数据资产评估以及</w:t>
      </w:r>
      <w:r>
        <w:rPr>
          <w:spacing w:val="-2"/>
        </w:rPr>
        <w:t>数据资产的流通使用需要从管理、技术两方面强化。</w:t>
      </w:r>
    </w:p>
    <w:p>
      <w:pPr>
        <w:pStyle w:val="ListParagraph"/>
        <w:numPr>
          <w:ilvl w:val="0"/>
          <w:numId w:val="20"/>
        </w:numPr>
        <w:tabs>
          <w:tab w:pos="3000" w:val="left" w:leader="none"/>
          <w:tab w:pos="3001" w:val="left" w:leader="none"/>
        </w:tabs>
        <w:spacing w:line="358" w:lineRule="exact" w:before="0" w:after="0"/>
        <w:ind w:left="3000" w:right="0" w:hanging="579"/>
        <w:jc w:val="left"/>
        <w:rPr>
          <w:sz w:val="28"/>
        </w:rPr>
      </w:pPr>
      <w:r>
        <w:rPr>
          <w:spacing w:val="-3"/>
          <w:sz w:val="28"/>
        </w:rPr>
        <w:t>数据管理产品要具备广泛兼容性。</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92"/>
        <w:ind w:left="1329" w:right="1325" w:firstLine="0"/>
        <w:jc w:val="center"/>
        <w:rPr>
          <w:rFonts w:ascii="Times New Roman"/>
          <w:sz w:val="18"/>
        </w:rPr>
      </w:pPr>
      <w:r>
        <w:rPr>
          <w:rFonts w:ascii="Times New Roman"/>
          <w:spacing w:val="-5"/>
          <w:sz w:val="18"/>
        </w:rPr>
        <w:t>64</w:t>
      </w:r>
    </w:p>
    <w:p>
      <w:pPr>
        <w:spacing w:after="0"/>
        <w:jc w:val="center"/>
        <w:rPr>
          <w:rFonts w:ascii="Times New Roman"/>
          <w:sz w:val="18"/>
        </w:rPr>
        <w:sectPr>
          <w:headerReference w:type="default" r:id="rId82"/>
          <w:pgSz w:w="11910" w:h="16840"/>
          <w:pgMar w:header="877" w:footer="0" w:top="1100" w:bottom="280" w:left="480" w:right="480"/>
        </w:sectPr>
      </w:pPr>
    </w:p>
    <w:p>
      <w:pPr>
        <w:pStyle w:val="BodyText"/>
        <w:rPr>
          <w:rFonts w:ascii="Times New Roman"/>
          <w:sz w:val="20"/>
        </w:rPr>
      </w:pPr>
    </w:p>
    <w:p>
      <w:pPr>
        <w:pStyle w:val="Heading2"/>
      </w:pPr>
      <w:bookmarkStart w:name="_bookmark71" w:id="72"/>
      <w:bookmarkEnd w:id="72"/>
      <w:r>
        <w:rPr>
          <w:b w:val="0"/>
        </w:rPr>
      </w:r>
      <w:r>
        <w:rPr>
          <w:w w:val="95"/>
        </w:rPr>
        <w:t>（</w:t>
      </w:r>
      <w:r>
        <w:rPr>
          <w:w w:val="95"/>
        </w:rPr>
        <w:t>三</w:t>
      </w:r>
      <w:r>
        <w:rPr>
          <w:w w:val="95"/>
        </w:rPr>
        <w:t>）</w:t>
      </w:r>
      <w:r>
        <w:rPr>
          <w:w w:val="95"/>
        </w:rPr>
        <w:t>中</w:t>
      </w:r>
      <w:r>
        <w:rPr>
          <w:w w:val="95"/>
        </w:rPr>
        <w:t>国</w:t>
      </w:r>
      <w:r>
        <w:rPr>
          <w:w w:val="95"/>
        </w:rPr>
        <w:t>保</w:t>
      </w:r>
      <w:r>
        <w:rPr>
          <w:w w:val="95"/>
        </w:rPr>
        <w:t>信</w:t>
      </w:r>
      <w:r>
        <w:rPr>
          <w:w w:val="95"/>
        </w:rPr>
        <w:t>保</w:t>
      </w:r>
      <w:r>
        <w:rPr>
          <w:w w:val="95"/>
        </w:rPr>
        <w:t>险</w:t>
      </w:r>
      <w:r>
        <w:rPr>
          <w:w w:val="95"/>
        </w:rPr>
        <w:t>业</w:t>
      </w:r>
      <w:r>
        <w:rPr>
          <w:w w:val="95"/>
        </w:rPr>
        <w:t>务</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4"/>
        </w:rPr>
        <w:t>【数据情况】</w:t>
      </w:r>
    </w:p>
    <w:p>
      <w:pPr>
        <w:pStyle w:val="BodyText"/>
        <w:spacing w:before="9"/>
        <w:rPr>
          <w:rFonts w:ascii="黑体"/>
          <w:sz w:val="20"/>
        </w:rPr>
      </w:pPr>
    </w:p>
    <w:p>
      <w:pPr>
        <w:pStyle w:val="BodyText"/>
        <w:spacing w:line="417" w:lineRule="auto"/>
        <w:ind w:left="1320" w:right="1313" w:firstLine="559"/>
        <w:jc w:val="both"/>
      </w:pPr>
      <w:r>
        <w:rPr>
          <w:spacing w:val="-6"/>
        </w:rPr>
        <w:t>中国保险信息技术管理有限责任公司</w:t>
      </w:r>
      <w:r>
        <w:rPr>
          <w:spacing w:val="-2"/>
        </w:rPr>
        <w:t>（简称中国保信）是经国务</w:t>
      </w:r>
      <w:r>
        <w:rPr>
          <w:spacing w:val="-4"/>
        </w:rPr>
        <w:t>院批准，由中国保险监督管理委员会管理。公司以服务行业发展、支</w:t>
      </w:r>
      <w:r>
        <w:rPr/>
        <w:t>持保险监管、保护保险消费、辅助社会治理为使命</w:t>
      </w:r>
      <w:r>
        <w:rPr>
          <w:rFonts w:ascii="Times New Roman" w:eastAsia="Times New Roman"/>
        </w:rPr>
        <w:t>,</w:t>
      </w:r>
      <w:r>
        <w:rPr/>
        <w:t>主要职责是了解</w:t>
      </w:r>
      <w:r>
        <w:rPr>
          <w:spacing w:val="-4"/>
        </w:rPr>
        <w:t>保险行业信息交互共享需求，建设和运营集中统一、设计科学、功能</w:t>
      </w:r>
      <w:r>
        <w:rPr>
          <w:spacing w:val="-4"/>
        </w:rPr>
        <w:t>完善、安全高效的保险业数据信息共享和对外交互平台。保险业数据</w:t>
      </w:r>
      <w:r>
        <w:rPr>
          <w:spacing w:val="-6"/>
        </w:rPr>
        <w:t>信息共享平台是保险业的公共基础设施和综合性服务平台，将涵盖保</w:t>
      </w:r>
      <w:r>
        <w:rPr>
          <w:spacing w:val="-8"/>
        </w:rPr>
        <w:t>险主要业务领域的数据信息，全面建成后能够提供保险生产支持、信</w:t>
      </w:r>
      <w:r>
        <w:rPr>
          <w:spacing w:val="-2"/>
        </w:rPr>
        <w:t>息查询、保单登记和认证、结算等综合服务。</w:t>
      </w:r>
    </w:p>
    <w:p>
      <w:pPr>
        <w:pStyle w:val="BodyText"/>
        <w:spacing w:line="358" w:lineRule="exact"/>
        <w:ind w:left="1879"/>
        <w:rPr>
          <w:rFonts w:ascii="黑体" w:eastAsia="黑体"/>
        </w:rPr>
      </w:pPr>
      <w:r>
        <w:rPr>
          <w:rFonts w:ascii="黑体" w:eastAsia="黑体"/>
          <w:spacing w:val="-4"/>
        </w:rPr>
        <w:t>【痛点难点】</w:t>
      </w:r>
    </w:p>
    <w:p>
      <w:pPr>
        <w:pStyle w:val="BodyText"/>
        <w:spacing w:before="9"/>
        <w:rPr>
          <w:rFonts w:ascii="黑体"/>
          <w:sz w:val="20"/>
        </w:rPr>
      </w:pPr>
    </w:p>
    <w:p>
      <w:pPr>
        <w:pStyle w:val="BodyText"/>
        <w:spacing w:line="417" w:lineRule="auto"/>
        <w:ind w:left="1320" w:right="1173" w:firstLine="559"/>
      </w:pPr>
      <w:r>
        <w:rPr>
          <w:spacing w:val="-7"/>
        </w:rPr>
        <w:t>保险业务要素数据规范是行业信息共享的基础保障，是行业数据</w:t>
      </w:r>
      <w:r>
        <w:rPr>
          <w:spacing w:val="-2"/>
        </w:rPr>
        <w:t>资产管理和数据资产管理的关键内容；统一保险数据语义，是整个保险行业大数据工作科学健康开展的先决条件。保险业务开展过程中，</w:t>
      </w:r>
      <w:r>
        <w:rPr>
          <w:spacing w:val="-7"/>
        </w:rPr>
        <w:t>保险业务要素数据规范等数据资产管理规范的欠缺，导致关键业务信</w:t>
      </w:r>
      <w:r>
        <w:rPr>
          <w:spacing w:val="-2"/>
        </w:rPr>
        <w:t>息产生环节不清晰、范围不明确、内容不规范；制约行业数据质量、</w:t>
      </w:r>
      <w:r>
        <w:rPr>
          <w:spacing w:val="-2"/>
        </w:rPr>
        <w:t>安全及共享水平；掣肘保险监管的精细化与科学化；难以支撑巨灾风</w:t>
      </w:r>
      <w:r>
        <w:rPr>
          <w:spacing w:val="-5"/>
        </w:rPr>
        <w:t>险及保险信用信息数据库建设；影响保险反欺诈管理、灾害风险防控</w:t>
      </w:r>
      <w:r>
        <w:rPr>
          <w:spacing w:val="-2"/>
        </w:rPr>
        <w:t>与疏散；无法客观体现保险在社会治理中的广泛作用。</w:t>
      </w:r>
    </w:p>
    <w:p>
      <w:pPr>
        <w:pStyle w:val="BodyText"/>
        <w:spacing w:line="417" w:lineRule="auto"/>
        <w:ind w:left="1320" w:right="1037" w:firstLine="559"/>
      </w:pPr>
      <w:r>
        <w:rPr>
          <w:spacing w:val="-5"/>
        </w:rPr>
        <w:t>因此，亟需开展保险业务要素数据规范化工作。在保监会统计信</w:t>
      </w:r>
      <w:r>
        <w:rPr>
          <w:spacing w:val="-2"/>
        </w:rPr>
        <w:t> </w:t>
      </w:r>
      <w:r>
        <w:rPr>
          <w:spacing w:val="-12"/>
        </w:rPr>
        <w:t>息部直接指导下，中国保信公司负责承建研制保险业务要素数据规范，</w:t>
      </w:r>
      <w:r>
        <w:rPr>
          <w:spacing w:val="-2"/>
        </w:rPr>
        <w:t>实现大数据时代保险行业的</w:t>
      </w:r>
      <w:r>
        <w:rPr>
          <w:rFonts w:ascii="Times New Roman" w:hAnsi="Times New Roman" w:eastAsia="Times New Roman"/>
          <w:spacing w:val="-2"/>
        </w:rPr>
        <w:t>“</w:t>
      </w:r>
      <w:r>
        <w:rPr>
          <w:spacing w:val="-2"/>
        </w:rPr>
        <w:t>书同文、数同轨</w:t>
      </w:r>
      <w:r>
        <w:rPr>
          <w:rFonts w:ascii="Times New Roman" w:hAnsi="Times New Roman" w:eastAsia="Times New Roman"/>
          <w:spacing w:val="-2"/>
        </w:rPr>
        <w:t>”</w:t>
      </w:r>
      <w:r>
        <w:rPr>
          <w:spacing w:val="-2"/>
        </w:rPr>
        <w:t>的目标。</w:t>
      </w:r>
    </w:p>
    <w:p>
      <w:pPr>
        <w:pStyle w:val="BodyText"/>
        <w:spacing w:before="12"/>
        <w:rPr>
          <w:sz w:val="13"/>
        </w:rPr>
      </w:pPr>
    </w:p>
    <w:p>
      <w:pPr>
        <w:spacing w:before="92"/>
        <w:ind w:left="1329" w:right="1325" w:firstLine="0"/>
        <w:jc w:val="center"/>
        <w:rPr>
          <w:rFonts w:ascii="Times New Roman"/>
          <w:sz w:val="18"/>
        </w:rPr>
      </w:pPr>
      <w:r>
        <w:rPr>
          <w:rFonts w:ascii="Times New Roman"/>
          <w:spacing w:val="-5"/>
          <w:sz w:val="18"/>
        </w:rPr>
        <w:t>65</w:t>
      </w:r>
    </w:p>
    <w:p>
      <w:pPr>
        <w:spacing w:after="0"/>
        <w:jc w:val="center"/>
        <w:rPr>
          <w:rFonts w:ascii="Times New Roman"/>
          <w:sz w:val="18"/>
        </w:rPr>
        <w:sectPr>
          <w:headerReference w:type="default" r:id="rId83"/>
          <w:pgSz w:w="11910" w:h="16840"/>
          <w:pgMar w:header="877" w:footer="0" w:top="1100" w:bottom="280" w:left="480" w:right="480"/>
        </w:sectPr>
      </w:pPr>
    </w:p>
    <w:p>
      <w:pPr>
        <w:pStyle w:val="BodyText"/>
        <w:rPr>
          <w:rFonts w:ascii="Times New Roman"/>
          <w:sz w:val="20"/>
        </w:rPr>
      </w:pPr>
    </w:p>
    <w:p>
      <w:pPr>
        <w:pStyle w:val="BodyText"/>
        <w:spacing w:before="225"/>
        <w:ind w:left="1879"/>
        <w:rPr>
          <w:rFonts w:ascii="黑体" w:eastAsia="黑体"/>
        </w:rPr>
      </w:pPr>
      <w:r>
        <w:rPr>
          <w:rFonts w:ascii="黑体" w:eastAsia="黑体"/>
          <w:spacing w:val="-4"/>
        </w:rPr>
        <w:t>【实践路径】</w:t>
      </w:r>
    </w:p>
    <w:p>
      <w:pPr>
        <w:pStyle w:val="BodyText"/>
        <w:spacing w:before="8"/>
        <w:rPr>
          <w:rFonts w:ascii="黑体"/>
          <w:sz w:val="20"/>
        </w:rPr>
      </w:pPr>
    </w:p>
    <w:p>
      <w:pPr>
        <w:pStyle w:val="BodyText"/>
        <w:spacing w:line="417" w:lineRule="auto" w:before="1"/>
        <w:ind w:left="1320" w:right="1179" w:firstLine="559"/>
      </w:pPr>
      <w:r>
        <w:rPr>
          <w:spacing w:val="3"/>
          <w:w w:val="100"/>
        </w:rPr>
        <w:t>作为一个行业级数据资产管理和各机构数据资产管理的基础设</w:t>
      </w:r>
      <w:r>
        <w:rPr>
          <w:spacing w:val="-18"/>
          <w:w w:val="100"/>
        </w:rPr>
        <w:t>施，保险业务要素数据规范化参考行业现行规范，结合保险监管需求、</w:t>
      </w:r>
      <w:r>
        <w:rPr>
          <w:spacing w:val="-3"/>
          <w:w w:val="100"/>
        </w:rPr>
        <w:t>保单登记平台需求及保险公司业务实际，运用</w:t>
      </w:r>
      <w:r>
        <w:rPr>
          <w:spacing w:val="-55"/>
        </w:rPr>
        <w:t> </w:t>
      </w:r>
      <w:r>
        <w:rPr>
          <w:rFonts w:ascii="Times New Roman" w:eastAsia="Times New Roman"/>
          <w:w w:val="100"/>
        </w:rPr>
        <w:t>B</w:t>
      </w:r>
      <w:r>
        <w:rPr>
          <w:rFonts w:ascii="Times New Roman" w:eastAsia="Times New Roman"/>
          <w:spacing w:val="-2"/>
          <w:w w:val="100"/>
        </w:rPr>
        <w:t>O</w:t>
      </w:r>
      <w:r>
        <w:rPr>
          <w:rFonts w:ascii="Times New Roman" w:eastAsia="Times New Roman"/>
          <w:w w:val="100"/>
        </w:rPr>
        <w:t>R</w:t>
      </w:r>
      <w:r>
        <w:rPr>
          <w:rFonts w:ascii="Times New Roman" w:eastAsia="Times New Roman"/>
          <w:spacing w:val="11"/>
        </w:rPr>
        <w:t> </w:t>
      </w:r>
      <w:r>
        <w:rPr>
          <w:spacing w:val="-1"/>
          <w:w w:val="100"/>
        </w:rPr>
        <w:t>方法，合理界定</w:t>
      </w:r>
      <w:r>
        <w:rPr>
          <w:spacing w:val="-10"/>
          <w:w w:val="100"/>
        </w:rPr>
        <w:t>规范范围、设计数据模型、制定数据规范，确保规范的可扩展性、可</w:t>
      </w:r>
      <w:r>
        <w:rPr>
          <w:spacing w:val="-7"/>
          <w:w w:val="100"/>
        </w:rPr>
        <w:t>持续性及可落地性。具体的工作过程为如下。</w:t>
      </w:r>
    </w:p>
    <w:p>
      <w:pPr>
        <w:pStyle w:val="Heading3"/>
        <w:numPr>
          <w:ilvl w:val="0"/>
          <w:numId w:val="21"/>
        </w:numPr>
        <w:tabs>
          <w:tab w:pos="2204" w:val="left" w:leader="none"/>
        </w:tabs>
        <w:spacing w:line="381" w:lineRule="exact" w:before="0" w:after="0"/>
        <w:ind w:left="2203" w:right="0" w:hanging="243"/>
        <w:jc w:val="left"/>
      </w:pPr>
      <w:r>
        <w:rPr>
          <w:spacing w:val="-1"/>
          <w:w w:val="95"/>
        </w:rPr>
        <w:t>全面调研行业现状，力求数据规范研制贴近实务、贴</w:t>
      </w:r>
    </w:p>
    <w:p>
      <w:pPr>
        <w:spacing w:before="214"/>
        <w:ind w:left="1320" w:right="0" w:firstLine="0"/>
        <w:jc w:val="left"/>
        <w:rPr>
          <w:rFonts w:ascii="楷体" w:eastAsia="楷体"/>
          <w:sz w:val="32"/>
        </w:rPr>
      </w:pPr>
      <w:r>
        <w:rPr>
          <w:rFonts w:ascii="楷体" w:eastAsia="楷体"/>
          <w:w w:val="95"/>
          <w:sz w:val="32"/>
        </w:rPr>
        <w:t>近</w:t>
      </w:r>
      <w:r>
        <w:rPr>
          <w:rFonts w:ascii="楷体" w:eastAsia="楷体"/>
          <w:w w:val="95"/>
          <w:sz w:val="32"/>
        </w:rPr>
        <w:t>需</w:t>
      </w:r>
      <w:r>
        <w:rPr>
          <w:rFonts w:ascii="楷体" w:eastAsia="楷体"/>
          <w:w w:val="95"/>
          <w:sz w:val="32"/>
        </w:rPr>
        <w:t>求</w:t>
      </w:r>
      <w:r>
        <w:rPr>
          <w:rFonts w:ascii="楷体" w:eastAsia="楷体"/>
          <w:w w:val="95"/>
          <w:sz w:val="32"/>
        </w:rPr>
        <w:t>、</w:t>
      </w:r>
      <w:r>
        <w:rPr>
          <w:rFonts w:ascii="楷体" w:eastAsia="楷体"/>
          <w:w w:val="95"/>
          <w:sz w:val="32"/>
        </w:rPr>
        <w:t>贴</w:t>
      </w:r>
      <w:r>
        <w:rPr>
          <w:rFonts w:ascii="楷体" w:eastAsia="楷体"/>
          <w:w w:val="95"/>
          <w:sz w:val="32"/>
        </w:rPr>
        <w:t>近</w:t>
      </w:r>
      <w:r>
        <w:rPr>
          <w:rFonts w:ascii="楷体" w:eastAsia="楷体"/>
          <w:w w:val="95"/>
          <w:sz w:val="32"/>
        </w:rPr>
        <w:t>应</w:t>
      </w:r>
      <w:r>
        <w:rPr>
          <w:rFonts w:ascii="楷体" w:eastAsia="楷体"/>
          <w:spacing w:val="-5"/>
          <w:w w:val="95"/>
          <w:sz w:val="32"/>
        </w:rPr>
        <w:t>用。</w:t>
      </w:r>
    </w:p>
    <w:p>
      <w:pPr>
        <w:pStyle w:val="ListParagraph"/>
        <w:numPr>
          <w:ilvl w:val="0"/>
          <w:numId w:val="22"/>
        </w:numPr>
        <w:tabs>
          <w:tab w:pos="2161" w:val="left" w:leader="none"/>
        </w:tabs>
        <w:spacing w:line="240" w:lineRule="auto" w:before="242" w:after="0"/>
        <w:ind w:left="2160" w:right="0" w:hanging="282"/>
        <w:jc w:val="left"/>
        <w:rPr>
          <w:sz w:val="28"/>
        </w:rPr>
      </w:pPr>
      <w:r>
        <w:rPr>
          <w:spacing w:val="-3"/>
          <w:sz w:val="28"/>
        </w:rPr>
        <w:t>全面调研现行监管和业务需求</w:t>
      </w:r>
    </w:p>
    <w:p>
      <w:pPr>
        <w:pStyle w:val="ListParagraph"/>
        <w:numPr>
          <w:ilvl w:val="0"/>
          <w:numId w:val="22"/>
        </w:numPr>
        <w:tabs>
          <w:tab w:pos="2161" w:val="left" w:leader="none"/>
        </w:tabs>
        <w:spacing w:line="240" w:lineRule="auto" w:before="265" w:after="0"/>
        <w:ind w:left="2160" w:right="0" w:hanging="282"/>
        <w:jc w:val="left"/>
        <w:rPr>
          <w:sz w:val="28"/>
        </w:rPr>
      </w:pPr>
      <w:r>
        <w:rPr>
          <w:spacing w:val="-3"/>
          <w:sz w:val="28"/>
        </w:rPr>
        <w:t>全面调阅保险业务流程和数据字典</w:t>
      </w:r>
    </w:p>
    <w:p>
      <w:pPr>
        <w:pStyle w:val="ListParagraph"/>
        <w:numPr>
          <w:ilvl w:val="0"/>
          <w:numId w:val="22"/>
        </w:numPr>
        <w:tabs>
          <w:tab w:pos="2161" w:val="left" w:leader="none"/>
        </w:tabs>
        <w:spacing w:line="240" w:lineRule="auto" w:before="265" w:after="0"/>
        <w:ind w:left="2160" w:right="0" w:hanging="282"/>
        <w:jc w:val="left"/>
        <w:rPr>
          <w:sz w:val="28"/>
        </w:rPr>
      </w:pPr>
      <w:r>
        <w:rPr>
          <w:spacing w:val="-3"/>
          <w:sz w:val="28"/>
        </w:rPr>
        <w:t>全面梳理业务模型和业务代码</w:t>
      </w:r>
    </w:p>
    <w:p>
      <w:pPr>
        <w:pStyle w:val="Heading3"/>
        <w:numPr>
          <w:ilvl w:val="0"/>
          <w:numId w:val="21"/>
        </w:numPr>
        <w:tabs>
          <w:tab w:pos="2204" w:val="left" w:leader="none"/>
        </w:tabs>
        <w:spacing w:line="364" w:lineRule="auto" w:before="237" w:after="0"/>
        <w:ind w:left="1320" w:right="1323" w:firstLine="640"/>
        <w:jc w:val="left"/>
      </w:pPr>
      <w:r>
        <w:rPr>
          <w:spacing w:val="1"/>
          <w:w w:val="99"/>
        </w:rPr>
        <w:t>扎实开展研制工作，力求数据规范研制组织专业、定</w:t>
      </w:r>
      <w:r>
        <w:rPr>
          <w:w w:val="99"/>
        </w:rPr>
        <w:t>位准确、设计合理。</w:t>
      </w:r>
    </w:p>
    <w:p>
      <w:pPr>
        <w:pStyle w:val="ListParagraph"/>
        <w:numPr>
          <w:ilvl w:val="0"/>
          <w:numId w:val="22"/>
        </w:numPr>
        <w:tabs>
          <w:tab w:pos="2161" w:val="left" w:leader="none"/>
        </w:tabs>
        <w:spacing w:line="240" w:lineRule="auto" w:before="30" w:after="0"/>
        <w:ind w:left="2160" w:right="0" w:hanging="282"/>
        <w:jc w:val="left"/>
        <w:rPr>
          <w:sz w:val="28"/>
        </w:rPr>
      </w:pPr>
      <w:r>
        <w:rPr>
          <w:spacing w:val="-4"/>
          <w:sz w:val="28"/>
        </w:rPr>
        <w:t>行业专家全面参与</w:t>
      </w:r>
    </w:p>
    <w:p>
      <w:pPr>
        <w:pStyle w:val="ListParagraph"/>
        <w:numPr>
          <w:ilvl w:val="0"/>
          <w:numId w:val="22"/>
        </w:numPr>
        <w:tabs>
          <w:tab w:pos="2161" w:val="left" w:leader="none"/>
        </w:tabs>
        <w:spacing w:line="240" w:lineRule="auto" w:before="266" w:after="0"/>
        <w:ind w:left="2160" w:right="0" w:hanging="282"/>
        <w:jc w:val="left"/>
        <w:rPr>
          <w:sz w:val="28"/>
        </w:rPr>
      </w:pPr>
      <w:r>
        <w:rPr>
          <w:spacing w:val="-3"/>
          <w:sz w:val="28"/>
        </w:rPr>
        <w:t>反复论证寻找最大公约数</w:t>
      </w:r>
    </w:p>
    <w:p>
      <w:pPr>
        <w:pStyle w:val="ListParagraph"/>
        <w:numPr>
          <w:ilvl w:val="0"/>
          <w:numId w:val="22"/>
        </w:numPr>
        <w:tabs>
          <w:tab w:pos="2161" w:val="left" w:leader="none"/>
        </w:tabs>
        <w:spacing w:line="240" w:lineRule="auto" w:before="265" w:after="0"/>
        <w:ind w:left="2160" w:right="0" w:hanging="282"/>
        <w:jc w:val="left"/>
        <w:rPr>
          <w:sz w:val="28"/>
        </w:rPr>
      </w:pPr>
      <w:r>
        <w:rPr>
          <w:spacing w:val="-4"/>
          <w:sz w:val="28"/>
        </w:rPr>
        <w:t>合理设计规范架构</w:t>
      </w:r>
    </w:p>
    <w:p>
      <w:pPr>
        <w:pStyle w:val="Heading3"/>
        <w:numPr>
          <w:ilvl w:val="0"/>
          <w:numId w:val="21"/>
        </w:numPr>
        <w:tabs>
          <w:tab w:pos="2204" w:val="left" w:leader="none"/>
        </w:tabs>
        <w:spacing w:line="364" w:lineRule="auto" w:before="237" w:after="0"/>
        <w:ind w:left="1320" w:right="1323" w:firstLine="640"/>
        <w:jc w:val="left"/>
      </w:pPr>
      <w:r>
        <w:rPr>
          <w:spacing w:val="1"/>
          <w:w w:val="99"/>
        </w:rPr>
        <w:t>认真征求各方意见，不断调试数据规范内容，力求数</w:t>
      </w:r>
      <w:r>
        <w:rPr>
          <w:w w:val="99"/>
        </w:rPr>
        <w:t>据规范能用、有用、好用。</w:t>
      </w:r>
    </w:p>
    <w:p>
      <w:pPr>
        <w:pStyle w:val="ListParagraph"/>
        <w:numPr>
          <w:ilvl w:val="0"/>
          <w:numId w:val="22"/>
        </w:numPr>
        <w:tabs>
          <w:tab w:pos="2161" w:val="left" w:leader="none"/>
        </w:tabs>
        <w:spacing w:line="240" w:lineRule="auto" w:before="30" w:after="0"/>
        <w:ind w:left="2160" w:right="0" w:hanging="282"/>
        <w:jc w:val="left"/>
        <w:rPr>
          <w:sz w:val="28"/>
        </w:rPr>
      </w:pPr>
      <w:r>
        <w:rPr>
          <w:spacing w:val="-24"/>
          <w:sz w:val="28"/>
        </w:rPr>
        <w:t>征求 </w:t>
      </w:r>
      <w:r>
        <w:rPr>
          <w:rFonts w:ascii="Times New Roman" w:hAnsi="Times New Roman" w:eastAsia="Times New Roman"/>
          <w:sz w:val="28"/>
        </w:rPr>
        <w:t>200</w:t>
      </w:r>
      <w:r>
        <w:rPr>
          <w:rFonts w:ascii="Times New Roman" w:hAnsi="Times New Roman" w:eastAsia="Times New Roman"/>
          <w:spacing w:val="-10"/>
          <w:sz w:val="28"/>
        </w:rPr>
        <w:t> </w:t>
      </w:r>
      <w:r>
        <w:rPr>
          <w:spacing w:val="-2"/>
          <w:sz w:val="28"/>
        </w:rPr>
        <w:t>余家保险机构意见</w:t>
      </w:r>
    </w:p>
    <w:p>
      <w:pPr>
        <w:pStyle w:val="ListParagraph"/>
        <w:numPr>
          <w:ilvl w:val="0"/>
          <w:numId w:val="22"/>
        </w:numPr>
        <w:tabs>
          <w:tab w:pos="2161" w:val="left" w:leader="none"/>
        </w:tabs>
        <w:spacing w:line="240" w:lineRule="auto" w:before="265" w:after="0"/>
        <w:ind w:left="2160" w:right="0" w:hanging="282"/>
        <w:jc w:val="left"/>
        <w:rPr>
          <w:sz w:val="28"/>
        </w:rPr>
      </w:pPr>
      <w:r>
        <w:rPr>
          <w:spacing w:val="-3"/>
          <w:sz w:val="28"/>
        </w:rPr>
        <w:t>面向保监会系统广泛征求意见</w:t>
      </w:r>
    </w:p>
    <w:p>
      <w:pPr>
        <w:pStyle w:val="ListParagraph"/>
        <w:numPr>
          <w:ilvl w:val="0"/>
          <w:numId w:val="22"/>
        </w:numPr>
        <w:tabs>
          <w:tab w:pos="2161" w:val="left" w:leader="none"/>
        </w:tabs>
        <w:spacing w:line="240" w:lineRule="auto" w:before="266" w:after="0"/>
        <w:ind w:left="2160" w:right="0" w:hanging="282"/>
        <w:jc w:val="left"/>
        <w:rPr>
          <w:sz w:val="28"/>
        </w:rPr>
      </w:pPr>
      <w:r>
        <w:rPr>
          <w:spacing w:val="-3"/>
          <w:sz w:val="28"/>
        </w:rPr>
        <w:t>结合再保应用组织专门测试</w:t>
      </w:r>
    </w:p>
    <w:p>
      <w:pPr>
        <w:pStyle w:val="BodyText"/>
        <w:spacing w:before="265"/>
        <w:ind w:left="1879"/>
      </w:pPr>
      <w:r>
        <w:rPr>
          <w:spacing w:val="15"/>
        </w:rPr>
        <w:t>其中，数据调研和规范研制的核心技术在于数据资产管理的</w:t>
      </w:r>
    </w:p>
    <w:p>
      <w:pPr>
        <w:pStyle w:val="BodyText"/>
        <w:spacing w:before="5"/>
        <w:rPr>
          <w:sz w:val="22"/>
        </w:rPr>
      </w:pPr>
    </w:p>
    <w:p>
      <w:pPr>
        <w:spacing w:before="93"/>
        <w:ind w:left="1329" w:right="1325" w:firstLine="0"/>
        <w:jc w:val="center"/>
        <w:rPr>
          <w:rFonts w:ascii="Times New Roman"/>
          <w:sz w:val="18"/>
        </w:rPr>
      </w:pPr>
      <w:r>
        <w:rPr>
          <w:rFonts w:ascii="Times New Roman"/>
          <w:spacing w:val="-5"/>
          <w:sz w:val="18"/>
        </w:rPr>
        <w:t>66</w:t>
      </w:r>
    </w:p>
    <w:p>
      <w:pPr>
        <w:spacing w:after="0"/>
        <w:jc w:val="center"/>
        <w:rPr>
          <w:rFonts w:ascii="Times New Roman"/>
          <w:sz w:val="18"/>
        </w:rPr>
        <w:sectPr>
          <w:headerReference w:type="default" r:id="rId84"/>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6"/>
      </w:pPr>
      <w:r>
        <w:rPr>
          <w:rFonts w:ascii="Times New Roman" w:eastAsia="Times New Roman"/>
        </w:rPr>
        <w:t>BOR</w:t>
      </w:r>
      <w:r>
        <w:rPr>
          <w:rFonts w:ascii="Times New Roman" w:eastAsia="Times New Roman"/>
          <w:spacing w:val="71"/>
        </w:rPr>
        <w:t> </w:t>
      </w:r>
      <w:r>
        <w:rPr/>
        <w:t>框架体系，该体系确保数据规范体系严谨、与业务活动紧密对接。</w:t>
      </w:r>
      <w:r>
        <w:rPr>
          <w:rFonts w:ascii="Times New Roman" w:eastAsia="Times New Roman"/>
        </w:rPr>
        <w:t>BOR</w:t>
      </w:r>
      <w:r>
        <w:rPr>
          <w:rFonts w:ascii="Times New Roman" w:eastAsia="Times New Roman"/>
          <w:spacing w:val="69"/>
        </w:rPr>
        <w:t> </w:t>
      </w:r>
      <w:r>
        <w:rPr/>
        <w:t>方法即借鉴相关行业的成熟实践，结合保险业务实际，通</w:t>
      </w:r>
      <w:r>
        <w:rPr>
          <w:spacing w:val="-2"/>
        </w:rPr>
        <w:t>过梳理保险核心业务活动</w:t>
      </w:r>
      <w:r>
        <w:rPr>
          <w:rFonts w:ascii="Times New Roman" w:eastAsia="Times New Roman"/>
          <w:spacing w:val="-2"/>
        </w:rPr>
        <w:t>(Behavior)</w:t>
      </w:r>
      <w:r>
        <w:rPr>
          <w:spacing w:val="-23"/>
        </w:rPr>
        <w:t>、提炼业务对象</w:t>
      </w:r>
      <w:r>
        <w:rPr>
          <w:rFonts w:ascii="Times New Roman" w:eastAsia="Times New Roman"/>
          <w:spacing w:val="-2"/>
        </w:rPr>
        <w:t>(Object)</w:t>
      </w:r>
      <w:r>
        <w:rPr>
          <w:spacing w:val="-2"/>
        </w:rPr>
        <w:t>及其属性、</w:t>
      </w:r>
      <w:r>
        <w:rPr>
          <w:spacing w:val="-2"/>
        </w:rPr>
        <w:t>总结业务对象的相互关系</w:t>
      </w:r>
      <w:r>
        <w:rPr>
          <w:rFonts w:ascii="Times New Roman" w:eastAsia="Times New Roman"/>
          <w:spacing w:val="-2"/>
        </w:rPr>
        <w:t>(Relationship)</w:t>
      </w:r>
      <w:r>
        <w:rPr>
          <w:spacing w:val="-2"/>
        </w:rPr>
        <w:t>，从而确定保险行业数据规范</w:t>
      </w:r>
      <w:r>
        <w:rPr>
          <w:spacing w:val="-2"/>
        </w:rPr>
        <w:t>的范围、结构和内容。具体的梳理方法包括层层递进和聚类耦合等。</w:t>
      </w:r>
    </w:p>
    <w:p>
      <w:pPr>
        <w:pStyle w:val="BodyText"/>
        <w:spacing w:line="358" w:lineRule="exact"/>
        <w:ind w:left="1879"/>
        <w:rPr>
          <w:rFonts w:ascii="黑体" w:eastAsia="黑体"/>
        </w:rPr>
      </w:pPr>
      <w:r>
        <w:rPr>
          <w:rFonts w:ascii="黑体" w:eastAsia="黑体"/>
          <w:spacing w:val="-4"/>
        </w:rPr>
        <w:t>【应用效果】</w:t>
      </w:r>
    </w:p>
    <w:p>
      <w:pPr>
        <w:pStyle w:val="Heading3"/>
        <w:numPr>
          <w:ilvl w:val="0"/>
          <w:numId w:val="23"/>
        </w:numPr>
        <w:tabs>
          <w:tab w:pos="2203" w:val="left" w:leader="none"/>
        </w:tabs>
        <w:spacing w:line="240" w:lineRule="auto" w:before="237" w:after="0"/>
        <w:ind w:left="2202" w:right="0" w:hanging="242"/>
        <w:jc w:val="left"/>
      </w:pPr>
      <w:r>
        <w:rPr>
          <w:w w:val="95"/>
        </w:rPr>
        <w:t>成</w:t>
      </w:r>
      <w:r>
        <w:rPr>
          <w:spacing w:val="-10"/>
        </w:rPr>
        <w:t>果</w:t>
      </w:r>
    </w:p>
    <w:p>
      <w:pPr>
        <w:pStyle w:val="ListParagraph"/>
        <w:numPr>
          <w:ilvl w:val="1"/>
          <w:numId w:val="23"/>
        </w:numPr>
        <w:tabs>
          <w:tab w:pos="3001" w:val="left" w:leader="none"/>
        </w:tabs>
        <w:spacing w:line="417" w:lineRule="auto" w:before="242" w:after="0"/>
        <w:ind w:left="2222" w:right="1318" w:firstLine="199"/>
        <w:jc w:val="both"/>
        <w:rPr>
          <w:sz w:val="28"/>
        </w:rPr>
      </w:pPr>
      <w:r>
        <w:rPr>
          <w:spacing w:val="-8"/>
          <w:sz w:val="28"/>
        </w:rPr>
        <w:t>形成首批通用数据规范和专项数据规范，指导保险业实</w:t>
      </w:r>
      <w:r>
        <w:rPr>
          <w:spacing w:val="-4"/>
          <w:sz w:val="28"/>
        </w:rPr>
        <w:t>际应用。</w:t>
      </w:r>
    </w:p>
    <w:p>
      <w:pPr>
        <w:pStyle w:val="ListParagraph"/>
        <w:numPr>
          <w:ilvl w:val="1"/>
          <w:numId w:val="23"/>
        </w:numPr>
        <w:tabs>
          <w:tab w:pos="3001" w:val="left" w:leader="none"/>
        </w:tabs>
        <w:spacing w:line="417" w:lineRule="auto" w:before="0" w:after="0"/>
        <w:ind w:left="2222" w:right="1315" w:firstLine="199"/>
        <w:jc w:val="both"/>
        <w:rPr>
          <w:sz w:val="28"/>
        </w:rPr>
      </w:pPr>
      <w:r>
        <w:rPr>
          <w:spacing w:val="-2"/>
          <w:sz w:val="28"/>
        </w:rPr>
        <w:t>确定建立</w:t>
      </w:r>
      <w:r>
        <w:rPr>
          <w:rFonts w:ascii="Times New Roman" w:hAnsi="Times New Roman" w:eastAsia="Times New Roman"/>
          <w:spacing w:val="-2"/>
          <w:sz w:val="28"/>
        </w:rPr>
        <w:t>“2+N”</w:t>
      </w:r>
      <w:r>
        <w:rPr>
          <w:spacing w:val="-2"/>
          <w:sz w:val="28"/>
        </w:rPr>
        <w:t>的规范体系框架，即形成人身险和财产</w:t>
      </w:r>
      <w:r>
        <w:rPr>
          <w:spacing w:val="-8"/>
          <w:sz w:val="28"/>
        </w:rPr>
        <w:t>险等 </w:t>
      </w:r>
      <w:r>
        <w:rPr>
          <w:rFonts w:ascii="Times New Roman" w:hAnsi="Times New Roman" w:eastAsia="Times New Roman"/>
          <w:sz w:val="28"/>
        </w:rPr>
        <w:t>2</w:t>
      </w:r>
      <w:r>
        <w:rPr>
          <w:rFonts w:ascii="Times New Roman" w:hAnsi="Times New Roman" w:eastAsia="Times New Roman"/>
          <w:spacing w:val="45"/>
          <w:sz w:val="28"/>
        </w:rPr>
        <w:t> </w:t>
      </w:r>
      <w:r>
        <w:rPr>
          <w:sz w:val="28"/>
        </w:rPr>
        <w:t>个跨险种的基础数据规范，支持跨险种的公共应用。</w:t>
      </w:r>
      <w:r>
        <w:rPr>
          <w:spacing w:val="-2"/>
          <w:sz w:val="28"/>
        </w:rPr>
        <w:t>在此基础上，针对各主要险种的特点，扩展形成分险种的专</w:t>
      </w:r>
      <w:r>
        <w:rPr>
          <w:spacing w:val="-2"/>
          <w:sz w:val="28"/>
        </w:rPr>
        <w:t>项数据规范。</w:t>
      </w:r>
    </w:p>
    <w:p>
      <w:pPr>
        <w:pStyle w:val="ListParagraph"/>
        <w:numPr>
          <w:ilvl w:val="1"/>
          <w:numId w:val="23"/>
        </w:numPr>
        <w:tabs>
          <w:tab w:pos="3001" w:val="left" w:leader="none"/>
        </w:tabs>
        <w:spacing w:line="417" w:lineRule="auto" w:before="0" w:after="0"/>
        <w:ind w:left="2222" w:right="1318" w:firstLine="199"/>
        <w:jc w:val="both"/>
        <w:rPr>
          <w:sz w:val="28"/>
        </w:rPr>
      </w:pPr>
      <w:r>
        <w:rPr>
          <w:spacing w:val="-6"/>
          <w:sz w:val="28"/>
        </w:rPr>
        <w:t>建立主题域、数据实体、数据项三层架构，组织数据规</w:t>
      </w:r>
      <w:r>
        <w:rPr>
          <w:spacing w:val="-2"/>
          <w:sz w:val="28"/>
        </w:rPr>
        <w:t>范的有机统一。</w:t>
      </w:r>
    </w:p>
    <w:p>
      <w:pPr>
        <w:pStyle w:val="Heading3"/>
        <w:numPr>
          <w:ilvl w:val="0"/>
          <w:numId w:val="23"/>
        </w:numPr>
        <w:tabs>
          <w:tab w:pos="2203" w:val="left" w:leader="none"/>
        </w:tabs>
        <w:spacing w:line="382" w:lineRule="exact" w:before="0" w:after="0"/>
        <w:ind w:left="2202" w:right="0" w:hanging="242"/>
        <w:jc w:val="left"/>
      </w:pPr>
      <w:r>
        <w:rPr>
          <w:w w:val="95"/>
        </w:rPr>
        <w:t>应</w:t>
      </w:r>
      <w:r>
        <w:rPr>
          <w:w w:val="95"/>
        </w:rPr>
        <w:t>用</w:t>
      </w:r>
      <w:r>
        <w:rPr>
          <w:w w:val="95"/>
        </w:rPr>
        <w:t>价</w:t>
      </w:r>
      <w:r>
        <w:rPr>
          <w:spacing w:val="-10"/>
          <w:w w:val="95"/>
        </w:rPr>
        <w:t>值</w:t>
      </w:r>
    </w:p>
    <w:p>
      <w:pPr>
        <w:pStyle w:val="ListParagraph"/>
        <w:numPr>
          <w:ilvl w:val="1"/>
          <w:numId w:val="23"/>
        </w:numPr>
        <w:tabs>
          <w:tab w:pos="3000" w:val="left" w:leader="none"/>
          <w:tab w:pos="3001" w:val="left" w:leader="none"/>
        </w:tabs>
        <w:spacing w:line="417" w:lineRule="auto" w:before="241" w:after="0"/>
        <w:ind w:left="2222" w:right="1313" w:firstLine="199"/>
        <w:jc w:val="left"/>
        <w:rPr>
          <w:sz w:val="28"/>
        </w:rPr>
      </w:pPr>
      <w:r>
        <w:rPr>
          <w:spacing w:val="-4"/>
          <w:sz w:val="28"/>
        </w:rPr>
        <w:t>对于监管部门：对保险业务经营评估更全面、对保险行</w:t>
      </w:r>
      <w:r>
        <w:rPr>
          <w:spacing w:val="-2"/>
          <w:sz w:val="28"/>
        </w:rPr>
        <w:t>业风险识别更有效、对保险公司服务评价更客观；</w:t>
      </w:r>
    </w:p>
    <w:p>
      <w:pPr>
        <w:pStyle w:val="ListParagraph"/>
        <w:numPr>
          <w:ilvl w:val="1"/>
          <w:numId w:val="23"/>
        </w:numPr>
        <w:tabs>
          <w:tab w:pos="3000" w:val="left" w:leader="none"/>
          <w:tab w:pos="3001" w:val="left" w:leader="none"/>
        </w:tabs>
        <w:spacing w:line="417" w:lineRule="auto" w:before="1" w:after="0"/>
        <w:ind w:left="2222" w:right="1314" w:firstLine="199"/>
        <w:jc w:val="left"/>
        <w:rPr>
          <w:sz w:val="28"/>
        </w:rPr>
      </w:pPr>
      <w:r>
        <w:rPr>
          <w:spacing w:val="-4"/>
          <w:sz w:val="28"/>
        </w:rPr>
        <w:t>对于行业平台：从入口把关数据质量、提高数据整合效</w:t>
      </w:r>
      <w:r>
        <w:rPr>
          <w:spacing w:val="-2"/>
          <w:sz w:val="28"/>
        </w:rPr>
        <w:t>率、推动数据价值输出。</w:t>
      </w:r>
    </w:p>
    <w:p>
      <w:pPr>
        <w:pStyle w:val="ListParagraph"/>
        <w:numPr>
          <w:ilvl w:val="1"/>
          <w:numId w:val="23"/>
        </w:numPr>
        <w:tabs>
          <w:tab w:pos="3000" w:val="left" w:leader="none"/>
          <w:tab w:pos="3001" w:val="left" w:leader="none"/>
        </w:tabs>
        <w:spacing w:line="417" w:lineRule="auto" w:before="0" w:after="0"/>
        <w:ind w:left="2222" w:right="1314" w:firstLine="199"/>
        <w:jc w:val="left"/>
        <w:rPr>
          <w:sz w:val="28"/>
        </w:rPr>
      </w:pPr>
      <w:r>
        <w:rPr>
          <w:spacing w:val="-4"/>
          <w:sz w:val="28"/>
        </w:rPr>
        <w:t>对于保险公司：统一保险行业规范用语、降低行业信息</w:t>
      </w:r>
      <w:r>
        <w:rPr>
          <w:spacing w:val="-2"/>
          <w:sz w:val="28"/>
        </w:rPr>
        <w:t>共享成本、支持保险公司系统建设。</w:t>
      </w:r>
    </w:p>
    <w:p>
      <w:pPr>
        <w:pStyle w:val="BodyText"/>
        <w:spacing w:before="8"/>
        <w:rPr>
          <w:sz w:val="18"/>
        </w:rPr>
      </w:pPr>
    </w:p>
    <w:p>
      <w:pPr>
        <w:spacing w:before="93"/>
        <w:ind w:left="1329" w:right="1325" w:firstLine="0"/>
        <w:jc w:val="center"/>
        <w:rPr>
          <w:rFonts w:ascii="Times New Roman"/>
          <w:sz w:val="18"/>
        </w:rPr>
      </w:pPr>
      <w:r>
        <w:rPr>
          <w:rFonts w:ascii="Times New Roman"/>
          <w:spacing w:val="-5"/>
          <w:sz w:val="18"/>
        </w:rPr>
        <w:t>67</w:t>
      </w:r>
    </w:p>
    <w:p>
      <w:pPr>
        <w:spacing w:after="0"/>
        <w:jc w:val="center"/>
        <w:rPr>
          <w:rFonts w:ascii="Times New Roman"/>
          <w:sz w:val="18"/>
        </w:rPr>
        <w:sectPr>
          <w:headerReference w:type="default" r:id="rId85"/>
          <w:pgSz w:w="11910" w:h="16840"/>
          <w:pgMar w:header="877" w:footer="0" w:top="1100" w:bottom="280" w:left="480" w:right="480"/>
        </w:sectPr>
      </w:pPr>
    </w:p>
    <w:p>
      <w:pPr>
        <w:pStyle w:val="BodyText"/>
        <w:rPr>
          <w:rFonts w:ascii="Times New Roman"/>
          <w:sz w:val="20"/>
        </w:rPr>
      </w:pPr>
    </w:p>
    <w:p>
      <w:pPr>
        <w:pStyle w:val="ListParagraph"/>
        <w:numPr>
          <w:ilvl w:val="1"/>
          <w:numId w:val="23"/>
        </w:numPr>
        <w:tabs>
          <w:tab w:pos="3000" w:val="left" w:leader="none"/>
          <w:tab w:pos="3001" w:val="left" w:leader="none"/>
        </w:tabs>
        <w:spacing w:line="417" w:lineRule="auto" w:before="225" w:after="0"/>
        <w:ind w:left="2222" w:right="1314" w:firstLine="199"/>
        <w:jc w:val="left"/>
        <w:rPr>
          <w:sz w:val="28"/>
        </w:rPr>
      </w:pPr>
      <w:r>
        <w:rPr>
          <w:spacing w:val="-6"/>
          <w:sz w:val="28"/>
        </w:rPr>
        <w:t>对于消费者：更准确理解保险条款、更容易比较保险产</w:t>
      </w:r>
      <w:r>
        <w:rPr>
          <w:spacing w:val="-6"/>
          <w:sz w:val="28"/>
        </w:rPr>
        <w:t>品。</w:t>
      </w:r>
    </w:p>
    <w:p>
      <w:pPr>
        <w:pStyle w:val="BodyText"/>
        <w:spacing w:line="358" w:lineRule="exact"/>
        <w:ind w:left="1879"/>
        <w:rPr>
          <w:rFonts w:ascii="黑体" w:eastAsia="黑体"/>
        </w:rPr>
      </w:pPr>
      <w:r>
        <w:rPr>
          <w:rFonts w:ascii="黑体" w:eastAsia="黑体"/>
          <w:spacing w:val="-4"/>
        </w:rPr>
        <w:t>【洞察启示】</w:t>
      </w:r>
    </w:p>
    <w:p>
      <w:pPr>
        <w:pStyle w:val="BodyText"/>
        <w:spacing w:before="8"/>
        <w:rPr>
          <w:rFonts w:ascii="黑体"/>
          <w:sz w:val="20"/>
        </w:rPr>
      </w:pPr>
    </w:p>
    <w:p>
      <w:pPr>
        <w:pStyle w:val="BodyText"/>
        <w:spacing w:line="417" w:lineRule="auto" w:before="1"/>
        <w:ind w:left="1320" w:right="1037" w:firstLine="559"/>
      </w:pPr>
      <w:r>
        <w:rPr>
          <w:spacing w:val="-11"/>
          <w:w w:val="100"/>
        </w:rPr>
        <w:t>当前，各保险机构积极拥抱大数据，在客户营销和风险防控等领</w:t>
      </w:r>
      <w:r>
        <w:rPr>
          <w:spacing w:val="-11"/>
          <w:w w:val="100"/>
        </w:rPr>
        <w:t> </w:t>
      </w:r>
      <w:r>
        <w:rPr>
          <w:spacing w:val="-13"/>
          <w:w w:val="100"/>
        </w:rPr>
        <w:t>域都取得了企业局部的进展，但在提升行业核心竞争力和抗风险能力、</w:t>
      </w:r>
      <w:r>
        <w:rPr>
          <w:spacing w:val="-11"/>
          <w:w w:val="100"/>
        </w:rPr>
        <w:t>有效整合和利用车联网、信用等线上线下信息、构建完整客户知识图 </w:t>
      </w:r>
      <w:r>
        <w:rPr>
          <w:spacing w:val="3"/>
          <w:w w:val="100"/>
        </w:rPr>
        <w:t>谱实现精准营销和反欺诈等方面一直存在全行业数据共享和协同的 </w:t>
      </w:r>
      <w:r>
        <w:rPr>
          <w:spacing w:val="-11"/>
          <w:w w:val="100"/>
        </w:rPr>
        <w:t>瓶颈，保险业的新一轮转型和健康发展亟需在行业级数据基础设施层 </w:t>
      </w:r>
      <w:r>
        <w:rPr>
          <w:spacing w:val="2"/>
          <w:w w:val="100"/>
        </w:rPr>
        <w:t>面破解</w:t>
      </w:r>
      <w:r>
        <w:rPr>
          <w:rFonts w:ascii="Times New Roman" w:hAnsi="Times New Roman" w:eastAsia="Times New Roman"/>
          <w:spacing w:val="-3"/>
          <w:w w:val="100"/>
        </w:rPr>
        <w:t>“</w:t>
      </w:r>
      <w:r>
        <w:rPr>
          <w:spacing w:val="1"/>
          <w:w w:val="100"/>
        </w:rPr>
        <w:t>数不同轨、用不随心</w:t>
      </w:r>
      <w:r>
        <w:rPr>
          <w:rFonts w:ascii="Times New Roman" w:hAnsi="Times New Roman" w:eastAsia="Times New Roman"/>
          <w:w w:val="100"/>
        </w:rPr>
        <w:t>”</w:t>
      </w:r>
      <w:r>
        <w:rPr>
          <w:w w:val="100"/>
        </w:rPr>
        <w:t>，大数据知易行难、创新乏力的局面，</w:t>
      </w:r>
      <w:r>
        <w:rPr>
          <w:spacing w:val="-10"/>
          <w:w w:val="100"/>
        </w:rPr>
        <w:t>真正实现大数据在创新、管理和监管方面的大价值。没有全面的行业 </w:t>
      </w:r>
      <w:r>
        <w:rPr>
          <w:spacing w:val="-11"/>
          <w:w w:val="100"/>
        </w:rPr>
        <w:t>信息共享不足以谈行业大数据，没有数据资产管理的</w:t>
      </w:r>
      <w:r>
        <w:rPr>
          <w:rFonts w:ascii="Times New Roman" w:hAnsi="Times New Roman" w:eastAsia="Times New Roman"/>
          <w:spacing w:val="-8"/>
          <w:w w:val="100"/>
        </w:rPr>
        <w:t>“</w:t>
      </w:r>
      <w:r>
        <w:rPr>
          <w:w w:val="100"/>
        </w:rPr>
        <w:t>规矩</w:t>
      </w:r>
      <w:r>
        <w:rPr>
          <w:rFonts w:ascii="Times New Roman" w:hAnsi="Times New Roman" w:eastAsia="Times New Roman"/>
          <w:spacing w:val="-3"/>
          <w:w w:val="100"/>
        </w:rPr>
        <w:t>”</w:t>
      </w:r>
      <w:r>
        <w:rPr>
          <w:w w:val="100"/>
        </w:rPr>
        <w:t>也无法形 </w:t>
      </w:r>
      <w:r>
        <w:rPr>
          <w:spacing w:val="-1"/>
          <w:w w:val="100"/>
        </w:rPr>
        <w:t>成数据价值这一</w:t>
      </w:r>
      <w:r>
        <w:rPr>
          <w:rFonts w:ascii="Times New Roman" w:hAnsi="Times New Roman" w:eastAsia="Times New Roman"/>
          <w:spacing w:val="-7"/>
          <w:w w:val="100"/>
        </w:rPr>
        <w:t>“</w:t>
      </w:r>
      <w:r>
        <w:rPr>
          <w:w w:val="100"/>
        </w:rPr>
        <w:t>方圆</w:t>
      </w:r>
      <w:r>
        <w:rPr>
          <w:rFonts w:ascii="Times New Roman" w:hAnsi="Times New Roman" w:eastAsia="Times New Roman"/>
          <w:spacing w:val="-3"/>
          <w:w w:val="100"/>
        </w:rPr>
        <w:t>”</w:t>
      </w:r>
      <w:r>
        <w:rPr>
          <w:spacing w:val="-9"/>
          <w:w w:val="100"/>
        </w:rPr>
        <w:t>。数据成为具有系统性价值的企业资产，直到 </w:t>
      </w:r>
      <w:r>
        <w:rPr>
          <w:spacing w:val="-11"/>
          <w:w w:val="100"/>
        </w:rPr>
        <w:t>进一步可以形成数据产品对外服务、产生价值，数据资产管理是基础 </w:t>
      </w:r>
      <w:r>
        <w:rPr>
          <w:spacing w:val="-13"/>
          <w:w w:val="100"/>
        </w:rPr>
        <w:t>成功因素和必要条件。各保险机构应拥抱行业数据大格局和保监会的 </w:t>
      </w:r>
      <w:r>
        <w:rPr>
          <w:spacing w:val="-8"/>
          <w:w w:val="100"/>
        </w:rPr>
        <w:t>这一保险行业大数据的大行动，做三件事：</w:t>
      </w:r>
    </w:p>
    <w:p>
      <w:pPr>
        <w:pStyle w:val="ListParagraph"/>
        <w:numPr>
          <w:ilvl w:val="1"/>
          <w:numId w:val="23"/>
        </w:numPr>
        <w:tabs>
          <w:tab w:pos="3000" w:val="left" w:leader="none"/>
          <w:tab w:pos="3001" w:val="left" w:leader="none"/>
        </w:tabs>
        <w:spacing w:line="417" w:lineRule="auto" w:before="0" w:after="0"/>
        <w:ind w:left="2222" w:right="1318" w:firstLine="199"/>
        <w:jc w:val="left"/>
        <w:rPr>
          <w:sz w:val="28"/>
        </w:rPr>
      </w:pPr>
      <w:r>
        <w:rPr>
          <w:spacing w:val="-7"/>
          <w:sz w:val="28"/>
        </w:rPr>
        <w:t>积极参与保险业务要素数据规范的推广与落地，共同推</w:t>
      </w:r>
      <w:r>
        <w:rPr>
          <w:spacing w:val="-2"/>
          <w:sz w:val="28"/>
        </w:rPr>
        <w:t>动行业数据协同和安全共享。</w:t>
      </w:r>
    </w:p>
    <w:p>
      <w:pPr>
        <w:pStyle w:val="ListParagraph"/>
        <w:numPr>
          <w:ilvl w:val="1"/>
          <w:numId w:val="23"/>
        </w:numPr>
        <w:tabs>
          <w:tab w:pos="3000" w:val="left" w:leader="none"/>
          <w:tab w:pos="3001" w:val="left" w:leader="none"/>
        </w:tabs>
        <w:spacing w:line="417" w:lineRule="auto" w:before="0" w:after="0"/>
        <w:ind w:left="2222" w:right="1178" w:firstLine="199"/>
        <w:jc w:val="left"/>
        <w:rPr>
          <w:sz w:val="28"/>
        </w:rPr>
      </w:pPr>
      <w:r>
        <w:rPr>
          <w:w w:val="100"/>
          <w:sz w:val="28"/>
        </w:rPr>
        <w:t>吸收和学习</w:t>
      </w:r>
      <w:r>
        <w:rPr>
          <w:spacing w:val="-70"/>
          <w:sz w:val="28"/>
        </w:rPr>
        <w:t> </w:t>
      </w:r>
      <w:r>
        <w:rPr>
          <w:rFonts w:ascii="Times New Roman" w:hAnsi="Times New Roman" w:eastAsia="Times New Roman"/>
          <w:w w:val="100"/>
          <w:sz w:val="28"/>
        </w:rPr>
        <w:t>B</w:t>
      </w:r>
      <w:r>
        <w:rPr>
          <w:rFonts w:ascii="Times New Roman" w:hAnsi="Times New Roman" w:eastAsia="Times New Roman"/>
          <w:spacing w:val="-2"/>
          <w:w w:val="100"/>
          <w:sz w:val="28"/>
        </w:rPr>
        <w:t>O</w:t>
      </w:r>
      <w:r>
        <w:rPr>
          <w:rFonts w:ascii="Times New Roman" w:hAnsi="Times New Roman" w:eastAsia="Times New Roman"/>
          <w:w w:val="100"/>
          <w:sz w:val="28"/>
        </w:rPr>
        <w:t>R</w:t>
      </w:r>
      <w:r>
        <w:rPr>
          <w:rFonts w:ascii="Times New Roman" w:hAnsi="Times New Roman" w:eastAsia="Times New Roman"/>
          <w:spacing w:val="-3"/>
          <w:sz w:val="28"/>
        </w:rPr>
        <w:t> </w:t>
      </w:r>
      <w:r>
        <w:rPr>
          <w:spacing w:val="-13"/>
          <w:w w:val="100"/>
          <w:sz w:val="28"/>
        </w:rPr>
        <w:t>方法论，优化现有数据模型架构规范，</w:t>
      </w:r>
      <w:r>
        <w:rPr>
          <w:spacing w:val="1"/>
          <w:w w:val="100"/>
          <w:sz w:val="28"/>
        </w:rPr>
        <w:t>审视外部数据合作与内部数据和业务战略的关联，完善自身</w:t>
      </w:r>
      <w:r>
        <w:rPr>
          <w:spacing w:val="-3"/>
          <w:w w:val="100"/>
          <w:sz w:val="28"/>
        </w:rPr>
        <w:t>数据资产管理的组织、流程、平台。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before="93"/>
        <w:ind w:left="1329" w:right="1325" w:firstLine="0"/>
        <w:jc w:val="center"/>
        <w:rPr>
          <w:rFonts w:ascii="Times New Roman"/>
          <w:sz w:val="18"/>
        </w:rPr>
      </w:pPr>
      <w:r>
        <w:rPr>
          <w:rFonts w:ascii="Times New Roman"/>
          <w:spacing w:val="-5"/>
          <w:sz w:val="18"/>
        </w:rPr>
        <w:t>68</w:t>
      </w:r>
    </w:p>
    <w:p>
      <w:pPr>
        <w:spacing w:after="0"/>
        <w:jc w:val="center"/>
        <w:rPr>
          <w:rFonts w:ascii="Times New Roman"/>
          <w:sz w:val="18"/>
        </w:rPr>
        <w:sectPr>
          <w:headerReference w:type="default" r:id="rId86"/>
          <w:pgSz w:w="11910" w:h="16840"/>
          <w:pgMar w:header="877" w:footer="0" w:top="1100" w:bottom="280" w:left="480" w:right="480"/>
        </w:sectPr>
      </w:pPr>
    </w:p>
    <w:p>
      <w:pPr>
        <w:pStyle w:val="BodyText"/>
        <w:rPr>
          <w:rFonts w:ascii="Times New Roman"/>
          <w:sz w:val="20"/>
        </w:rPr>
      </w:pPr>
    </w:p>
    <w:p>
      <w:pPr>
        <w:pStyle w:val="ListParagraph"/>
        <w:numPr>
          <w:ilvl w:val="1"/>
          <w:numId w:val="23"/>
        </w:numPr>
        <w:tabs>
          <w:tab w:pos="3000" w:val="left" w:leader="none"/>
          <w:tab w:pos="3001" w:val="left" w:leader="none"/>
        </w:tabs>
        <w:spacing w:line="417" w:lineRule="auto" w:before="225" w:after="0"/>
        <w:ind w:left="2222" w:right="1318" w:firstLine="199"/>
        <w:jc w:val="left"/>
        <w:rPr>
          <w:sz w:val="28"/>
        </w:rPr>
      </w:pPr>
      <w:r>
        <w:rPr>
          <w:spacing w:val="-8"/>
          <w:sz w:val="28"/>
        </w:rPr>
        <w:t>充分利用保险业务要素数据规范的成果，加速机构自身</w:t>
      </w:r>
      <w:r>
        <w:rPr>
          <w:spacing w:val="-2"/>
          <w:sz w:val="28"/>
        </w:rPr>
        <w:t>数据资产管理和数据资产管理成熟度的提高，积极探索数据</w:t>
      </w:r>
      <w:r>
        <w:rPr>
          <w:spacing w:val="-2"/>
          <w:sz w:val="28"/>
        </w:rPr>
        <w:t>资产价值评估和对外变现定价的方法和途径。</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92"/>
        <w:ind w:left="1329" w:right="1325" w:firstLine="0"/>
        <w:jc w:val="center"/>
        <w:rPr>
          <w:rFonts w:ascii="Times New Roman"/>
          <w:sz w:val="18"/>
        </w:rPr>
      </w:pPr>
      <w:r>
        <w:rPr>
          <w:rFonts w:ascii="Times New Roman"/>
          <w:spacing w:val="-5"/>
          <w:sz w:val="18"/>
        </w:rPr>
        <w:t>69</w:t>
      </w:r>
    </w:p>
    <w:p>
      <w:pPr>
        <w:spacing w:after="0"/>
        <w:jc w:val="center"/>
        <w:rPr>
          <w:rFonts w:ascii="Times New Roman"/>
          <w:sz w:val="18"/>
        </w:rPr>
        <w:sectPr>
          <w:headerReference w:type="default" r:id="rId87"/>
          <w:pgSz w:w="11910" w:h="16840"/>
          <w:pgMar w:header="877" w:footer="0" w:top="1100" w:bottom="280" w:left="480" w:right="480"/>
        </w:sectPr>
      </w:pPr>
    </w:p>
    <w:p>
      <w:pPr>
        <w:pStyle w:val="BodyText"/>
        <w:rPr>
          <w:rFonts w:ascii="Times New Roman"/>
          <w:sz w:val="20"/>
        </w:rPr>
      </w:pPr>
    </w:p>
    <w:p>
      <w:pPr>
        <w:pStyle w:val="Heading2"/>
      </w:pPr>
      <w:bookmarkStart w:name="_bookmark72" w:id="73"/>
      <w:bookmarkEnd w:id="73"/>
      <w:r>
        <w:rPr>
          <w:b w:val="0"/>
        </w:rPr>
      </w:r>
      <w:r>
        <w:rPr>
          <w:w w:val="95"/>
        </w:rPr>
        <w:t>（</w:t>
      </w:r>
      <w:r>
        <w:rPr>
          <w:w w:val="95"/>
        </w:rPr>
        <w:t>四</w:t>
      </w:r>
      <w:r>
        <w:rPr>
          <w:w w:val="95"/>
        </w:rPr>
        <w:t>）</w:t>
      </w:r>
      <w:r>
        <w:rPr>
          <w:w w:val="95"/>
        </w:rPr>
        <w:t>基</w:t>
      </w:r>
      <w:r>
        <w:rPr>
          <w:w w:val="95"/>
        </w:rPr>
        <w:t>于</w:t>
      </w:r>
      <w:r>
        <w:rPr>
          <w:w w:val="95"/>
        </w:rPr>
        <w:t>数</w:t>
      </w:r>
      <w:r>
        <w:rPr>
          <w:w w:val="95"/>
        </w:rPr>
        <w:t>据</w:t>
      </w:r>
      <w:r>
        <w:rPr>
          <w:w w:val="95"/>
        </w:rPr>
        <w:t>模</w:t>
      </w:r>
      <w:r>
        <w:rPr>
          <w:w w:val="95"/>
        </w:rPr>
        <w:t>型</w:t>
      </w:r>
      <w:r>
        <w:rPr>
          <w:w w:val="95"/>
        </w:rPr>
        <w:t>的</w:t>
      </w:r>
      <w:r>
        <w:rPr>
          <w:w w:val="95"/>
        </w:rPr>
        <w:t>证</w:t>
      </w:r>
      <w:r>
        <w:rPr>
          <w:w w:val="95"/>
        </w:rPr>
        <w:t>券</w:t>
      </w:r>
      <w:r>
        <w:rPr>
          <w:w w:val="95"/>
        </w:rPr>
        <w:t>期</w:t>
      </w:r>
      <w:r>
        <w:rPr>
          <w:w w:val="95"/>
        </w:rPr>
        <w:t>货行业</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4"/>
        </w:rPr>
        <w:t>【数据情况】</w:t>
      </w:r>
    </w:p>
    <w:p>
      <w:pPr>
        <w:pStyle w:val="BodyText"/>
        <w:spacing w:before="9"/>
        <w:rPr>
          <w:rFonts w:ascii="黑体"/>
          <w:sz w:val="20"/>
        </w:rPr>
      </w:pPr>
    </w:p>
    <w:p>
      <w:pPr>
        <w:pStyle w:val="BodyText"/>
        <w:spacing w:line="417" w:lineRule="auto"/>
        <w:ind w:left="1320" w:right="1316" w:firstLine="559"/>
        <w:jc w:val="both"/>
      </w:pPr>
      <w:r>
        <w:rPr/>
        <w:t>现代证券期货行业是依赖信息化程度最高的行业之一，</w:t>
      </w:r>
      <w:r>
        <w:rPr>
          <w:rFonts w:ascii="Times New Roman" w:eastAsia="Times New Roman"/>
        </w:rPr>
        <w:t>IT </w:t>
      </w:r>
      <w:r>
        <w:rPr/>
        <w:t>系统</w:t>
      </w:r>
      <w:r>
        <w:rPr>
          <w:spacing w:val="-7"/>
        </w:rPr>
        <w:t>运行产生的数据是证券期货行业最核心的资产。中国证券期货行业涉</w:t>
      </w:r>
      <w:r>
        <w:rPr>
          <w:spacing w:val="-4"/>
        </w:rPr>
        <w:t>及涉及机构类型多样、数量庞大：参与市场运行的核心组织机构有近 </w:t>
      </w:r>
      <w:r>
        <w:rPr>
          <w:rFonts w:ascii="Times New Roman" w:eastAsia="Times New Roman"/>
        </w:rPr>
        <w:t>20</w:t>
      </w:r>
      <w:r>
        <w:rPr>
          <w:rFonts w:ascii="Times New Roman" w:eastAsia="Times New Roman"/>
          <w:spacing w:val="56"/>
          <w:w w:val="150"/>
        </w:rPr>
        <w:t> </w:t>
      </w:r>
      <w:r>
        <w:rPr>
          <w:spacing w:val="-1"/>
        </w:rPr>
        <w:t>家；证券、期货、基金、私募经纪公司等各类注册经营机构有数</w:t>
      </w:r>
    </w:p>
    <w:p>
      <w:pPr>
        <w:pStyle w:val="BodyText"/>
        <w:spacing w:line="417" w:lineRule="auto"/>
        <w:ind w:left="1320" w:right="1313"/>
        <w:jc w:val="both"/>
      </w:pPr>
      <w:r>
        <w:rPr>
          <w:spacing w:val="-4"/>
        </w:rPr>
        <w:t>千家；交易的标的物品种繁多、交易量大，日均交易量在 </w:t>
      </w:r>
      <w:r>
        <w:rPr>
          <w:rFonts w:ascii="Times New Roman" w:eastAsia="Times New Roman"/>
          <w:spacing w:val="-2"/>
        </w:rPr>
        <w:t>3.5</w:t>
      </w:r>
      <w:r>
        <w:rPr>
          <w:rFonts w:ascii="Times New Roman" w:eastAsia="Times New Roman"/>
          <w:spacing w:val="-16"/>
        </w:rPr>
        <w:t> </w:t>
      </w:r>
      <w:r>
        <w:rPr>
          <w:spacing w:val="-2"/>
        </w:rPr>
        <w:t>亿笔左</w:t>
      </w:r>
      <w:r>
        <w:rPr>
          <w:spacing w:val="-4"/>
        </w:rPr>
        <w:t>右；交易方式多样、变化迅速、结构相对复杂，一笔交易需要经过多</w:t>
      </w:r>
      <w:r>
        <w:rPr>
          <w:spacing w:val="-2"/>
        </w:rPr>
        <w:t>家主体机构才能完成运行流转。</w:t>
      </w:r>
    </w:p>
    <w:p>
      <w:pPr>
        <w:pStyle w:val="BodyText"/>
        <w:spacing w:line="417" w:lineRule="auto"/>
        <w:ind w:left="1320" w:right="1313" w:firstLine="559"/>
        <w:jc w:val="both"/>
      </w:pPr>
      <w:r>
        <w:rPr/>
        <w:t>证券期货行业产生的数据量大（</w:t>
      </w:r>
      <w:r>
        <w:rPr>
          <w:spacing w:val="-9"/>
        </w:rPr>
        <w:t>截止到 </w:t>
      </w:r>
      <w:r>
        <w:rPr>
          <w:rFonts w:ascii="Times New Roman" w:hAnsi="Times New Roman" w:eastAsia="Times New Roman"/>
        </w:rPr>
        <w:t>2016</w:t>
      </w:r>
      <w:r>
        <w:rPr>
          <w:rFonts w:ascii="Times New Roman" w:hAnsi="Times New Roman" w:eastAsia="Times New Roman"/>
          <w:spacing w:val="-18"/>
        </w:rPr>
        <w:t> </w:t>
      </w:r>
      <w:r>
        <w:rPr/>
        <w:t>年底，国内证券期</w:t>
      </w:r>
      <w:r>
        <w:rPr>
          <w:spacing w:val="-4"/>
        </w:rPr>
        <w:t>货行业行业结构化数据量已经达到了 </w:t>
      </w:r>
      <w:r>
        <w:rPr>
          <w:rFonts w:ascii="Times New Roman" w:hAnsi="Times New Roman" w:eastAsia="Times New Roman"/>
          <w:spacing w:val="-2"/>
        </w:rPr>
        <w:t>PB</w:t>
      </w:r>
      <w:r>
        <w:rPr>
          <w:rFonts w:ascii="Times New Roman" w:hAnsi="Times New Roman" w:eastAsia="Times New Roman"/>
          <w:spacing w:val="-5"/>
        </w:rPr>
        <w:t> </w:t>
      </w:r>
      <w:r>
        <w:rPr>
          <w:spacing w:val="-2"/>
        </w:rPr>
        <w:t>级</w:t>
      </w:r>
      <w:r>
        <w:rPr>
          <w:spacing w:val="-142"/>
        </w:rPr>
        <w:t>）</w:t>
      </w:r>
      <w:r>
        <w:rPr>
          <w:spacing w:val="-44"/>
        </w:rPr>
        <w:t>。但与</w:t>
      </w:r>
      <w:r>
        <w:rPr>
          <w:rFonts w:ascii="Times New Roman" w:hAnsi="Times New Roman" w:eastAsia="Times New Roman"/>
          <w:spacing w:val="-2"/>
        </w:rPr>
        <w:t>“</w:t>
      </w:r>
      <w:r>
        <w:rPr>
          <w:spacing w:val="-2"/>
        </w:rPr>
        <w:t>通常意义上</w:t>
      </w:r>
      <w:r>
        <w:rPr>
          <w:rFonts w:ascii="Times New Roman" w:hAnsi="Times New Roman" w:eastAsia="Times New Roman"/>
          <w:spacing w:val="-2"/>
        </w:rPr>
        <w:t>”</w:t>
      </w:r>
      <w:r>
        <w:rPr>
          <w:spacing w:val="-2"/>
        </w:rPr>
        <w:t>的大</w:t>
      </w:r>
      <w:r>
        <w:rPr>
          <w:spacing w:val="-4"/>
        </w:rPr>
        <w:t>数据低价值密度、快速处理、非结构化为主相比，证券期货业大数据</w:t>
      </w:r>
      <w:r>
        <w:rPr>
          <w:spacing w:val="-4"/>
        </w:rPr>
        <w:t>结构化程度高、数据质量好、附加值高，并且数据需要在需要在多个</w:t>
      </w:r>
      <w:r>
        <w:rPr>
          <w:spacing w:val="-4"/>
        </w:rPr>
        <w:t>企业间进行数据交换，形成主营业务闭环，对数据交换要求极高的频</w:t>
      </w:r>
      <w:r>
        <w:rPr>
          <w:spacing w:val="-6"/>
        </w:rPr>
        <w:t>率。</w:t>
      </w:r>
    </w:p>
    <w:p>
      <w:pPr>
        <w:pStyle w:val="BodyText"/>
        <w:spacing w:line="417" w:lineRule="auto"/>
        <w:ind w:left="1320" w:right="1178" w:firstLine="559"/>
        <w:jc w:val="both"/>
      </w:pPr>
      <w:r>
        <w:rPr>
          <w:spacing w:val="-8"/>
        </w:rPr>
        <w:t>证监会作为证券期货行业的监管部门，对证券行业的良性发展起</w:t>
      </w:r>
      <w:r>
        <w:rPr>
          <w:spacing w:val="-2"/>
        </w:rPr>
        <w:t>到了不可或缺的作用。在数据方面，证监会一直致力于推进数据标准</w:t>
      </w:r>
      <w:r>
        <w:rPr>
          <w:spacing w:val="-2"/>
        </w:rPr>
        <w:t>和治理工作，旨在通过建立统一的框架，指导、规范整个行业数据交</w:t>
      </w:r>
      <w:r>
        <w:rPr>
          <w:spacing w:val="-2"/>
        </w:rPr>
        <w:t>换与统计。证券庞大的机构群、巨大的数据量、高结构化、相对复杂</w:t>
      </w:r>
      <w:r>
        <w:rPr>
          <w:spacing w:val="-1"/>
        </w:rPr>
        <w:t>的数据交换环境使证券期货行业的数据资产管理工作面临巨大挑战。</w:t>
      </w:r>
    </w:p>
    <w:p>
      <w:pPr>
        <w:pStyle w:val="BodyText"/>
        <w:spacing w:line="358" w:lineRule="exact"/>
        <w:ind w:left="1879"/>
        <w:rPr>
          <w:rFonts w:ascii="黑体" w:eastAsia="黑体"/>
        </w:rPr>
      </w:pPr>
      <w:r>
        <w:rPr>
          <w:rFonts w:ascii="黑体" w:eastAsia="黑体"/>
          <w:spacing w:val="-4"/>
        </w:rPr>
        <w:t>【痛点难点】</w:t>
      </w:r>
    </w:p>
    <w:p>
      <w:pPr>
        <w:pStyle w:val="BodyText"/>
        <w:spacing w:before="7"/>
        <w:rPr>
          <w:rFonts w:ascii="黑体"/>
          <w:sz w:val="20"/>
        </w:rPr>
      </w:pPr>
    </w:p>
    <w:p>
      <w:pPr>
        <w:pStyle w:val="BodyText"/>
        <w:ind w:left="1879"/>
      </w:pPr>
      <w:r>
        <w:rPr>
          <w:spacing w:val="-9"/>
        </w:rPr>
        <w:t>在目前的国际数据资产管理体系中，各国际标准组织及数据管理</w:t>
      </w:r>
    </w:p>
    <w:p>
      <w:pPr>
        <w:pStyle w:val="BodyText"/>
        <w:spacing w:before="9"/>
        <w:rPr>
          <w:sz w:val="17"/>
        </w:rPr>
      </w:pPr>
    </w:p>
    <w:p>
      <w:pPr>
        <w:spacing w:before="93"/>
        <w:ind w:left="1329" w:right="1325" w:firstLine="0"/>
        <w:jc w:val="center"/>
        <w:rPr>
          <w:rFonts w:ascii="Times New Roman"/>
          <w:sz w:val="18"/>
        </w:rPr>
      </w:pPr>
      <w:r>
        <w:rPr>
          <w:rFonts w:ascii="Times New Roman"/>
          <w:spacing w:val="-5"/>
          <w:sz w:val="18"/>
        </w:rPr>
        <w:t>70</w:t>
      </w:r>
    </w:p>
    <w:p>
      <w:pPr>
        <w:spacing w:after="0"/>
        <w:jc w:val="center"/>
        <w:rPr>
          <w:rFonts w:ascii="Times New Roman"/>
          <w:sz w:val="18"/>
        </w:rPr>
        <w:sectPr>
          <w:headerReference w:type="default" r:id="rId8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9"/>
      </w:pPr>
      <w:r>
        <w:rPr>
          <w:spacing w:val="-2"/>
        </w:rPr>
        <w:t>组织对数据资产管理的概念、框架、目标要求都已有明确定义，但是</w:t>
      </w:r>
      <w:r>
        <w:rPr>
          <w:spacing w:val="-17"/>
        </w:rPr>
        <w:t>在应用与成果理论两个环节，还没有深入和具体的方法论。简而言之，</w:t>
      </w:r>
      <w:r>
        <w:rPr>
          <w:spacing w:val="-12"/>
        </w:rPr>
        <w:t>如何将抽象、粗线条的数据资产管理概念和框架具体应用于行业级场</w:t>
      </w:r>
      <w:r>
        <w:rPr>
          <w:spacing w:val="-2"/>
        </w:rPr>
        <w:t>景仍缺乏系统性的理论和实践探索。</w:t>
      </w:r>
    </w:p>
    <w:p>
      <w:pPr>
        <w:pStyle w:val="BodyText"/>
        <w:spacing w:line="417" w:lineRule="auto"/>
        <w:ind w:left="1320" w:right="1315" w:firstLine="559"/>
        <w:jc w:val="both"/>
      </w:pPr>
      <w:r>
        <w:rPr>
          <w:spacing w:val="-4"/>
        </w:rPr>
        <w:t>如前所述，中国证券期货行业机构繁多、交易多变，基础数据定</w:t>
      </w:r>
      <w:r>
        <w:rPr>
          <w:spacing w:val="-4"/>
        </w:rPr>
        <w:t>义冲突较多；数据交互相对复杂但跨机构、甚至机构内部的通用程度</w:t>
      </w:r>
      <w:r>
        <w:rPr>
          <w:spacing w:val="-4"/>
        </w:rPr>
        <w:t>较差，数据交换接口标准定义各异；在业务协同、监管等领域缺乏清</w:t>
      </w:r>
      <w:r>
        <w:rPr>
          <w:spacing w:val="-6"/>
        </w:rPr>
        <w:t>晰可见的行业数据关系图谱。可见，整个行业急需系统化的数据资产</w:t>
      </w:r>
      <w:r>
        <w:rPr>
          <w:spacing w:val="-4"/>
        </w:rPr>
        <w:t>管理，以统一明确的数据模型，描述整个证券期货市场业务、数据情</w:t>
      </w:r>
      <w:r>
        <w:rPr>
          <w:spacing w:val="-4"/>
        </w:rPr>
        <w:t>况，明确数据定义、规范数据交换、指导行业系统建设。中国证监会</w:t>
      </w:r>
      <w:r>
        <w:rPr>
          <w:spacing w:val="-2"/>
        </w:rPr>
        <w:t>在吸收国际先进标准的基础上针对行业应用这一空白研制了中国证</w:t>
      </w:r>
      <w:r>
        <w:rPr>
          <w:spacing w:val="-9"/>
        </w:rPr>
        <w:t>券期货行业数据资产管理方法论，建立了以数据模型为核心的行业数</w:t>
      </w:r>
      <w:r>
        <w:rPr>
          <w:spacing w:val="-2"/>
        </w:rPr>
        <w:t>据资产管理体系。</w:t>
      </w:r>
    </w:p>
    <w:p>
      <w:pPr>
        <w:pStyle w:val="BodyText"/>
        <w:spacing w:line="358" w:lineRule="exact"/>
        <w:ind w:left="1879"/>
        <w:rPr>
          <w:rFonts w:ascii="黑体" w:eastAsia="黑体"/>
        </w:rPr>
      </w:pPr>
      <w:r>
        <w:rPr>
          <w:rFonts w:ascii="黑体" w:eastAsia="黑体"/>
          <w:spacing w:val="-4"/>
        </w:rPr>
        <w:t>【实践路径】</w:t>
      </w:r>
    </w:p>
    <w:p>
      <w:pPr>
        <w:pStyle w:val="BodyText"/>
        <w:spacing w:before="7"/>
        <w:rPr>
          <w:rFonts w:ascii="黑体"/>
          <w:sz w:val="20"/>
        </w:rPr>
      </w:pPr>
    </w:p>
    <w:p>
      <w:pPr>
        <w:pStyle w:val="BodyText"/>
        <w:spacing w:line="417" w:lineRule="auto" w:before="1"/>
        <w:ind w:left="1320" w:right="1037" w:firstLine="559"/>
      </w:pPr>
      <w:r>
        <w:rPr>
          <w:spacing w:val="-2"/>
        </w:rPr>
        <w:t>证监会行业数据资产管理以行业数据模型为核心</w:t>
      </w:r>
      <w:r>
        <w:rPr>
          <w:rFonts w:ascii="Times New Roman" w:eastAsia="Times New Roman"/>
          <w:spacing w:val="-2"/>
        </w:rPr>
        <w:t>,</w:t>
      </w:r>
      <w:r>
        <w:rPr>
          <w:spacing w:val="-2"/>
        </w:rPr>
        <w:t>规范数据定义，</w:t>
      </w:r>
      <w:r>
        <w:rPr>
          <w:spacing w:val="-2"/>
        </w:rPr>
        <w:t>服务行业标准化。</w:t>
      </w:r>
    </w:p>
    <w:p>
      <w:pPr>
        <w:pStyle w:val="BodyText"/>
        <w:spacing w:line="417" w:lineRule="auto"/>
        <w:ind w:left="1320" w:right="1316" w:firstLine="559"/>
        <w:jc w:val="both"/>
      </w:pPr>
      <w:r>
        <w:rPr>
          <w:spacing w:val="-7"/>
        </w:rPr>
        <w:t>证券期货行业数据模型的建设首先是解读行业规则，即以证券期</w:t>
      </w:r>
      <w:r>
        <w:rPr>
          <w:spacing w:val="-4"/>
        </w:rPr>
        <w:t>货行业相关法律法规、业务规则、制度及流程等为依据，梳理行业顶</w:t>
      </w:r>
      <w:r>
        <w:rPr>
          <w:spacing w:val="-2"/>
        </w:rPr>
        <w:t>层数据流图及机构内数据流图，识别行业数据的现状。</w:t>
      </w:r>
    </w:p>
    <w:p>
      <w:pPr>
        <w:pStyle w:val="BodyText"/>
        <w:spacing w:line="417" w:lineRule="auto"/>
        <w:ind w:left="1320" w:right="1317" w:firstLine="559"/>
        <w:jc w:val="both"/>
      </w:pPr>
      <w:r>
        <w:rPr>
          <w:spacing w:val="-2"/>
        </w:rPr>
        <w:t>进一步以</w:t>
      </w:r>
      <w:r>
        <w:rPr>
          <w:rFonts w:ascii="Times New Roman" w:hAnsi="Times New Roman" w:eastAsia="Times New Roman"/>
          <w:spacing w:val="-2"/>
        </w:rPr>
        <w:t>“</w:t>
      </w:r>
      <w:r>
        <w:rPr>
          <w:spacing w:val="-2"/>
        </w:rPr>
        <w:t>交易</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监管</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披露</w:t>
      </w:r>
      <w:r>
        <w:rPr>
          <w:rFonts w:ascii="Times New Roman" w:hAnsi="Times New Roman" w:eastAsia="Times New Roman"/>
          <w:spacing w:val="-2"/>
        </w:rPr>
        <w:t>”</w:t>
      </w:r>
      <w:r>
        <w:rPr>
          <w:spacing w:val="-2"/>
        </w:rPr>
        <w:t>三大业务线条为切入点，分别</w:t>
      </w:r>
      <w:r>
        <w:rPr>
          <w:spacing w:val="-8"/>
        </w:rPr>
        <w:t>完成对行业中各种业务的全面遍历，最终形成一系列有关联关系的数</w:t>
      </w:r>
      <w:r>
        <w:rPr>
          <w:spacing w:val="-2"/>
        </w:rPr>
        <w:t>据项和数据表。</w:t>
      </w:r>
    </w:p>
    <w:p>
      <w:pPr>
        <w:pStyle w:val="BodyText"/>
        <w:spacing w:before="8"/>
        <w:rPr>
          <w:sz w:val="18"/>
        </w:rPr>
      </w:pPr>
    </w:p>
    <w:p>
      <w:pPr>
        <w:spacing w:before="92"/>
        <w:ind w:left="1329" w:right="1325" w:firstLine="0"/>
        <w:jc w:val="center"/>
        <w:rPr>
          <w:rFonts w:ascii="Times New Roman"/>
          <w:sz w:val="18"/>
        </w:rPr>
      </w:pPr>
      <w:r>
        <w:rPr>
          <w:rFonts w:ascii="Times New Roman"/>
          <w:spacing w:val="-5"/>
          <w:sz w:val="18"/>
        </w:rPr>
        <w:t>71</w:t>
      </w:r>
    </w:p>
    <w:p>
      <w:pPr>
        <w:spacing w:after="0"/>
        <w:jc w:val="center"/>
        <w:rPr>
          <w:rFonts w:ascii="Times New Roman"/>
          <w:sz w:val="18"/>
        </w:rPr>
        <w:sectPr>
          <w:headerReference w:type="default" r:id="rId8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6" w:firstLine="559"/>
        <w:jc w:val="both"/>
      </w:pPr>
      <w:r>
        <w:rPr>
          <w:spacing w:val="-4"/>
        </w:rPr>
        <w:t>以行业现状的识别、行业规则的提取为基础，根据模型的应用深</w:t>
      </w:r>
      <w:r>
        <w:rPr>
          <w:spacing w:val="-12"/>
        </w:rPr>
        <w:t>度的不同，形成用于规范行业标准化的抽象模型和指导行业数据应用</w:t>
      </w:r>
      <w:r>
        <w:rPr>
          <w:spacing w:val="-2"/>
        </w:rPr>
        <w:t>建设的逻辑模型，最终完成证券期货行业的数据模型建设。</w:t>
      </w:r>
    </w:p>
    <w:p>
      <w:pPr>
        <w:pStyle w:val="BodyText"/>
        <w:spacing w:line="358" w:lineRule="exact"/>
        <w:ind w:left="1879"/>
        <w:rPr>
          <w:rFonts w:ascii="黑体" w:eastAsia="黑体"/>
        </w:rPr>
      </w:pPr>
      <w:r>
        <w:rPr>
          <w:rFonts w:ascii="黑体" w:eastAsia="黑体"/>
          <w:spacing w:val="-4"/>
        </w:rPr>
        <w:t>【应用效果】</w:t>
      </w:r>
    </w:p>
    <w:p>
      <w:pPr>
        <w:pStyle w:val="BodyText"/>
        <w:spacing w:before="8"/>
        <w:rPr>
          <w:rFonts w:ascii="黑体"/>
          <w:sz w:val="20"/>
        </w:rPr>
      </w:pPr>
    </w:p>
    <w:p>
      <w:pPr>
        <w:pStyle w:val="BodyText"/>
        <w:spacing w:line="417" w:lineRule="auto" w:before="1"/>
        <w:ind w:left="1320" w:right="1037" w:firstLine="559"/>
      </w:pPr>
      <w:r>
        <w:rPr>
          <w:spacing w:val="-6"/>
        </w:rPr>
        <w:t>证券期货行业数据模型已用于规范行业各类标准制定，指导行业</w:t>
      </w:r>
      <w:r>
        <w:rPr>
          <w:spacing w:val="-2"/>
        </w:rPr>
        <w:t> </w:t>
      </w:r>
      <w:r>
        <w:rPr>
          <w:spacing w:val="-12"/>
        </w:rPr>
        <w:t>各机构应用系统建设，乃至为行业数据大集中项目提供权威数据标准。</w:t>
      </w:r>
    </w:p>
    <w:p>
      <w:pPr>
        <w:pStyle w:val="Heading3"/>
        <w:numPr>
          <w:ilvl w:val="0"/>
          <w:numId w:val="24"/>
        </w:numPr>
        <w:tabs>
          <w:tab w:pos="2203" w:val="left" w:leader="none"/>
        </w:tabs>
        <w:spacing w:line="382" w:lineRule="exact" w:before="0" w:after="0"/>
        <w:ind w:left="2202" w:right="0" w:hanging="242"/>
        <w:jc w:val="left"/>
      </w:pPr>
      <w:r>
        <w:rPr>
          <w:w w:val="95"/>
        </w:rPr>
        <w:t>规</w:t>
      </w:r>
      <w:r>
        <w:rPr>
          <w:w w:val="95"/>
        </w:rPr>
        <w:t>范</w:t>
      </w:r>
      <w:r>
        <w:rPr>
          <w:w w:val="95"/>
        </w:rPr>
        <w:t>行</w:t>
      </w:r>
      <w:r>
        <w:rPr>
          <w:w w:val="95"/>
        </w:rPr>
        <w:t>业</w:t>
      </w:r>
      <w:r>
        <w:rPr>
          <w:w w:val="95"/>
        </w:rPr>
        <w:t>标</w:t>
      </w:r>
      <w:r>
        <w:rPr>
          <w:w w:val="95"/>
        </w:rPr>
        <w:t>准</w:t>
      </w:r>
      <w:r>
        <w:rPr>
          <w:spacing w:val="-10"/>
          <w:w w:val="95"/>
        </w:rPr>
        <w:t>化</w:t>
      </w:r>
    </w:p>
    <w:p>
      <w:pPr>
        <w:pStyle w:val="BodyText"/>
        <w:spacing w:line="417" w:lineRule="auto" w:before="242"/>
        <w:ind w:left="1320" w:right="1317" w:firstLine="559"/>
        <w:jc w:val="both"/>
      </w:pPr>
      <w:r>
        <w:rPr>
          <w:spacing w:val="-4"/>
        </w:rPr>
        <w:t>建立一套基于行业数据模型的行业标准编制、审核机制、关联查</w:t>
      </w:r>
      <w:r>
        <w:rPr>
          <w:spacing w:val="-4"/>
        </w:rPr>
        <w:t>询方式，通过行业标准审核，规范、统一在行业中交换数据的含义和</w:t>
      </w:r>
      <w:r>
        <w:rPr>
          <w:spacing w:val="-4"/>
        </w:rPr>
        <w:t>口径。</w:t>
      </w:r>
    </w:p>
    <w:p>
      <w:pPr>
        <w:pStyle w:val="Heading3"/>
        <w:numPr>
          <w:ilvl w:val="0"/>
          <w:numId w:val="24"/>
        </w:numPr>
        <w:tabs>
          <w:tab w:pos="2203" w:val="left" w:leader="none"/>
        </w:tabs>
        <w:spacing w:line="381" w:lineRule="exact" w:before="0" w:after="0"/>
        <w:ind w:left="2202" w:right="0" w:hanging="242"/>
        <w:jc w:val="left"/>
      </w:pPr>
      <w:r>
        <w:rPr>
          <w:w w:val="95"/>
        </w:rPr>
        <w:t>支</w:t>
      </w:r>
      <w:r>
        <w:rPr>
          <w:w w:val="95"/>
        </w:rPr>
        <w:t>持</w:t>
      </w:r>
      <w:r>
        <w:rPr>
          <w:w w:val="95"/>
        </w:rPr>
        <w:t>核</w:t>
      </w:r>
      <w:r>
        <w:rPr>
          <w:w w:val="95"/>
        </w:rPr>
        <w:t>心</w:t>
      </w:r>
      <w:r>
        <w:rPr>
          <w:w w:val="95"/>
        </w:rPr>
        <w:t>应</w:t>
      </w:r>
      <w:r>
        <w:rPr>
          <w:w w:val="95"/>
        </w:rPr>
        <w:t>用</w:t>
      </w:r>
      <w:r>
        <w:rPr>
          <w:w w:val="95"/>
        </w:rPr>
        <w:t>系</w:t>
      </w:r>
      <w:r>
        <w:rPr>
          <w:w w:val="95"/>
        </w:rPr>
        <w:t>统</w:t>
      </w:r>
      <w:r>
        <w:rPr>
          <w:w w:val="95"/>
        </w:rPr>
        <w:t>建</w:t>
      </w:r>
      <w:r>
        <w:rPr>
          <w:spacing w:val="-10"/>
          <w:w w:val="95"/>
        </w:rPr>
        <w:t>设</w:t>
      </w:r>
    </w:p>
    <w:p>
      <w:pPr>
        <w:pStyle w:val="BodyText"/>
        <w:spacing w:line="417" w:lineRule="auto" w:before="242"/>
        <w:ind w:left="1320" w:right="1316" w:firstLine="559"/>
        <w:jc w:val="both"/>
      </w:pPr>
      <w:r>
        <w:rPr>
          <w:spacing w:val="-4"/>
        </w:rPr>
        <w:t>运用不同视角的逻辑模型，直接指导行业系统建设，特别是数据</w:t>
      </w:r>
      <w:r>
        <w:rPr>
          <w:spacing w:val="-10"/>
        </w:rPr>
        <w:t>仓库类的数据应用系统建设，规范机构间进而到机构内部系统间的数</w:t>
      </w:r>
      <w:r>
        <w:rPr>
          <w:spacing w:val="-2"/>
        </w:rPr>
        <w:t>据定义，提升全行业数据标准化程度。</w:t>
      </w:r>
    </w:p>
    <w:p>
      <w:pPr>
        <w:pStyle w:val="Heading3"/>
        <w:numPr>
          <w:ilvl w:val="0"/>
          <w:numId w:val="24"/>
        </w:numPr>
        <w:tabs>
          <w:tab w:pos="2203" w:val="left" w:leader="none"/>
        </w:tabs>
        <w:spacing w:line="382" w:lineRule="exact" w:before="0" w:after="0"/>
        <w:ind w:left="2202" w:right="0" w:hanging="242"/>
        <w:jc w:val="left"/>
      </w:pPr>
      <w:r>
        <w:rPr>
          <w:w w:val="95"/>
        </w:rPr>
        <w:t>指</w:t>
      </w:r>
      <w:r>
        <w:rPr>
          <w:w w:val="95"/>
        </w:rPr>
        <w:t>导</w:t>
      </w:r>
      <w:r>
        <w:rPr>
          <w:w w:val="95"/>
        </w:rPr>
        <w:t>智</w:t>
      </w:r>
      <w:r>
        <w:rPr>
          <w:w w:val="95"/>
        </w:rPr>
        <w:t>能</w:t>
      </w:r>
      <w:r>
        <w:rPr>
          <w:w w:val="95"/>
        </w:rPr>
        <w:t>数</w:t>
      </w:r>
      <w:r>
        <w:rPr>
          <w:w w:val="95"/>
        </w:rPr>
        <w:t>据</w:t>
      </w:r>
      <w:r>
        <w:rPr>
          <w:w w:val="95"/>
        </w:rPr>
        <w:t>挖</w:t>
      </w:r>
      <w:r>
        <w:rPr>
          <w:w w:val="95"/>
        </w:rPr>
        <w:t>掘</w:t>
      </w:r>
      <w:r>
        <w:rPr>
          <w:w w:val="95"/>
        </w:rPr>
        <w:t>方</w:t>
      </w:r>
      <w:r>
        <w:rPr>
          <w:spacing w:val="-5"/>
          <w:w w:val="95"/>
        </w:rPr>
        <w:t>法论</w:t>
      </w:r>
    </w:p>
    <w:p>
      <w:pPr>
        <w:pStyle w:val="BodyText"/>
        <w:spacing w:line="417" w:lineRule="auto" w:before="242"/>
        <w:ind w:left="1320" w:right="1179" w:firstLine="559"/>
      </w:pPr>
      <w:r>
        <w:rPr>
          <w:spacing w:val="-10"/>
        </w:rPr>
        <w:t>建立智能数据挖掘方法论。通过数据模型中的业务流程和实体关</w:t>
      </w:r>
      <w:r>
        <w:rPr>
          <w:spacing w:val="-19"/>
        </w:rPr>
        <w:t>系图，形成数据挖掘地图，开展不依赖于业务需要的工程化数据挖掘，</w:t>
      </w:r>
      <w:r>
        <w:rPr>
          <w:spacing w:val="-2"/>
        </w:rPr>
        <w:t>遍历特定业务方向上的数据特征，全面提取业务间的关系列表，提高</w:t>
      </w:r>
      <w:r>
        <w:rPr>
          <w:spacing w:val="-2"/>
        </w:rPr>
        <w:t>数据挖掘准确性和挖掘效率。</w:t>
      </w:r>
    </w:p>
    <w:p>
      <w:pPr>
        <w:pStyle w:val="Heading3"/>
        <w:numPr>
          <w:ilvl w:val="0"/>
          <w:numId w:val="24"/>
        </w:numPr>
        <w:tabs>
          <w:tab w:pos="2203" w:val="left" w:leader="none"/>
        </w:tabs>
        <w:spacing w:line="382" w:lineRule="exact" w:before="0" w:after="0"/>
        <w:ind w:left="2202" w:right="0" w:hanging="242"/>
        <w:jc w:val="left"/>
      </w:pPr>
      <w:r>
        <w:rPr>
          <w:w w:val="95"/>
        </w:rPr>
        <w:t>在</w:t>
      </w:r>
      <w:r>
        <w:rPr>
          <w:w w:val="95"/>
        </w:rPr>
        <w:t>行</w:t>
      </w:r>
      <w:r>
        <w:rPr>
          <w:w w:val="95"/>
        </w:rPr>
        <w:t>业</w:t>
      </w:r>
      <w:r>
        <w:rPr>
          <w:w w:val="95"/>
        </w:rPr>
        <w:t>范</w:t>
      </w:r>
      <w:r>
        <w:rPr>
          <w:w w:val="95"/>
        </w:rPr>
        <w:t>围</w:t>
      </w:r>
      <w:r>
        <w:rPr>
          <w:w w:val="95"/>
        </w:rPr>
        <w:t>内</w:t>
      </w:r>
      <w:r>
        <w:rPr>
          <w:w w:val="95"/>
        </w:rPr>
        <w:t>建立数据</w:t>
      </w:r>
      <w:r>
        <w:rPr>
          <w:w w:val="95"/>
        </w:rPr>
        <w:t>资</w:t>
      </w:r>
      <w:r>
        <w:rPr>
          <w:w w:val="95"/>
        </w:rPr>
        <w:t>产</w:t>
      </w:r>
      <w:r>
        <w:rPr>
          <w:w w:val="95"/>
        </w:rPr>
        <w:t>管</w:t>
      </w:r>
      <w:r>
        <w:rPr>
          <w:w w:val="95"/>
        </w:rPr>
        <w:t>理</w:t>
      </w:r>
      <w:r>
        <w:rPr>
          <w:w w:val="95"/>
        </w:rPr>
        <w:t>实</w:t>
      </w:r>
      <w:r>
        <w:rPr>
          <w:spacing w:val="-10"/>
          <w:w w:val="95"/>
        </w:rPr>
        <w:t>践</w:t>
      </w:r>
    </w:p>
    <w:p>
      <w:pPr>
        <w:pStyle w:val="BodyText"/>
        <w:spacing w:line="417" w:lineRule="auto" w:before="242"/>
        <w:ind w:left="1320" w:right="1179" w:firstLine="559"/>
      </w:pPr>
      <w:r>
        <w:rPr>
          <w:spacing w:val="-2"/>
        </w:rPr>
        <w:t>以证券期货行业数据模型为基础，开展行业数据模型治理工作，</w:t>
      </w:r>
      <w:r>
        <w:rPr>
          <w:spacing w:val="-11"/>
        </w:rPr>
        <w:t>梳理证券公司逻辑模型，形成指导证券公司开展数据仓库建设及其他</w:t>
      </w:r>
    </w:p>
    <w:p>
      <w:pPr>
        <w:spacing w:before="113"/>
        <w:ind w:left="1329" w:right="1325" w:firstLine="0"/>
        <w:jc w:val="center"/>
        <w:rPr>
          <w:rFonts w:ascii="Times New Roman"/>
          <w:sz w:val="18"/>
        </w:rPr>
      </w:pPr>
      <w:r>
        <w:rPr>
          <w:rFonts w:ascii="Times New Roman"/>
          <w:spacing w:val="-5"/>
          <w:sz w:val="18"/>
        </w:rPr>
        <w:t>72</w:t>
      </w:r>
    </w:p>
    <w:p>
      <w:pPr>
        <w:spacing w:after="0"/>
        <w:jc w:val="center"/>
        <w:rPr>
          <w:rFonts w:ascii="Times New Roman"/>
          <w:sz w:val="18"/>
        </w:rPr>
        <w:sectPr>
          <w:headerReference w:type="default" r:id="rId90"/>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应用系统建设的最佳实践。</w:t>
      </w:r>
    </w:p>
    <w:p>
      <w:pPr>
        <w:pStyle w:val="Heading3"/>
        <w:numPr>
          <w:ilvl w:val="0"/>
          <w:numId w:val="24"/>
        </w:numPr>
        <w:tabs>
          <w:tab w:pos="2203" w:val="left" w:leader="none"/>
        </w:tabs>
        <w:spacing w:line="240" w:lineRule="auto" w:before="237" w:after="0"/>
        <w:ind w:left="2202" w:right="0" w:hanging="242"/>
        <w:jc w:val="left"/>
      </w:pPr>
      <w:r>
        <w:rPr>
          <w:w w:val="95"/>
        </w:rPr>
        <w:t>整</w:t>
      </w:r>
      <w:r>
        <w:rPr>
          <w:w w:val="95"/>
        </w:rPr>
        <w:t>合</w:t>
      </w:r>
      <w:r>
        <w:rPr>
          <w:w w:val="95"/>
        </w:rPr>
        <w:t>行</w:t>
      </w:r>
      <w:r>
        <w:rPr>
          <w:w w:val="95"/>
        </w:rPr>
        <w:t>业</w:t>
      </w:r>
      <w:r>
        <w:rPr>
          <w:w w:val="95"/>
        </w:rPr>
        <w:t>数</w:t>
      </w:r>
      <w:r>
        <w:rPr>
          <w:w w:val="95"/>
        </w:rPr>
        <w:t>据</w:t>
      </w:r>
      <w:r>
        <w:rPr>
          <w:w w:val="95"/>
        </w:rPr>
        <w:t>资</w:t>
      </w:r>
      <w:r>
        <w:rPr>
          <w:w w:val="95"/>
        </w:rPr>
        <w:t>源</w:t>
      </w:r>
      <w:r>
        <w:rPr>
          <w:w w:val="95"/>
        </w:rPr>
        <w:t>，提</w:t>
      </w:r>
      <w:r>
        <w:rPr>
          <w:w w:val="95"/>
        </w:rPr>
        <w:t>升</w:t>
      </w:r>
      <w:r>
        <w:rPr>
          <w:w w:val="95"/>
        </w:rPr>
        <w:t>数</w:t>
      </w:r>
      <w:r>
        <w:rPr>
          <w:w w:val="95"/>
        </w:rPr>
        <w:t>据</w:t>
      </w:r>
      <w:r>
        <w:rPr>
          <w:w w:val="95"/>
        </w:rPr>
        <w:t>利</w:t>
      </w:r>
      <w:r>
        <w:rPr>
          <w:w w:val="95"/>
        </w:rPr>
        <w:t>用</w:t>
      </w:r>
      <w:r>
        <w:rPr>
          <w:w w:val="95"/>
        </w:rPr>
        <w:t>价</w:t>
      </w:r>
      <w:r>
        <w:rPr>
          <w:spacing w:val="-10"/>
          <w:w w:val="95"/>
        </w:rPr>
        <w:t>值</w:t>
      </w:r>
    </w:p>
    <w:p>
      <w:pPr>
        <w:pStyle w:val="BodyText"/>
        <w:spacing w:line="417" w:lineRule="auto" w:before="242"/>
        <w:ind w:left="1320" w:right="1315" w:firstLine="559"/>
        <w:jc w:val="both"/>
      </w:pPr>
      <w:r>
        <w:rPr>
          <w:spacing w:val="-4"/>
        </w:rPr>
        <w:t>在建立行业数据资产管理最佳实践的过程中，借助行业力量，整</w:t>
      </w:r>
      <w:r>
        <w:rPr>
          <w:spacing w:val="-9"/>
        </w:rPr>
        <w:t>合行业数据资源，使最佳实践更具备行业通用性，更具有行业指导作</w:t>
      </w:r>
      <w:r>
        <w:rPr>
          <w:spacing w:val="-2"/>
        </w:rPr>
        <w:t>用，有效提升数据利用价值。</w:t>
      </w:r>
    </w:p>
    <w:p>
      <w:pPr>
        <w:pStyle w:val="Heading3"/>
        <w:numPr>
          <w:ilvl w:val="0"/>
          <w:numId w:val="24"/>
        </w:numPr>
        <w:tabs>
          <w:tab w:pos="2203" w:val="left" w:leader="none"/>
        </w:tabs>
        <w:spacing w:line="381" w:lineRule="exact" w:before="0" w:after="0"/>
        <w:ind w:left="2202" w:right="0" w:hanging="242"/>
        <w:jc w:val="left"/>
      </w:pPr>
      <w:r>
        <w:rPr>
          <w:w w:val="95"/>
        </w:rPr>
        <w:t>加</w:t>
      </w:r>
      <w:r>
        <w:rPr>
          <w:w w:val="95"/>
        </w:rPr>
        <w:t>强</w:t>
      </w:r>
      <w:r>
        <w:rPr>
          <w:w w:val="95"/>
        </w:rPr>
        <w:t>数</w:t>
      </w:r>
      <w:r>
        <w:rPr>
          <w:w w:val="95"/>
        </w:rPr>
        <w:t>据</w:t>
      </w:r>
      <w:r>
        <w:rPr>
          <w:w w:val="95"/>
        </w:rPr>
        <w:t>合</w:t>
      </w:r>
      <w:r>
        <w:rPr>
          <w:w w:val="95"/>
        </w:rPr>
        <w:t>规</w:t>
      </w:r>
      <w:r>
        <w:rPr>
          <w:w w:val="95"/>
        </w:rPr>
        <w:t>、</w:t>
      </w:r>
      <w:r>
        <w:rPr>
          <w:w w:val="95"/>
        </w:rPr>
        <w:t>风</w:t>
      </w:r>
      <w:r>
        <w:rPr>
          <w:w w:val="95"/>
        </w:rPr>
        <w:t>险</w:t>
      </w:r>
      <w:r>
        <w:rPr>
          <w:w w:val="95"/>
        </w:rPr>
        <w:t>和</w:t>
      </w:r>
      <w:r>
        <w:rPr>
          <w:w w:val="95"/>
        </w:rPr>
        <w:t>隐</w:t>
      </w:r>
      <w:r>
        <w:rPr>
          <w:spacing w:val="-10"/>
          <w:w w:val="95"/>
        </w:rPr>
        <w:t>私</w:t>
      </w:r>
    </w:p>
    <w:p>
      <w:pPr>
        <w:pStyle w:val="BodyText"/>
        <w:spacing w:line="417" w:lineRule="auto" w:before="242"/>
        <w:ind w:left="1320" w:right="1175" w:firstLine="559"/>
        <w:jc w:val="both"/>
      </w:pPr>
      <w:r>
        <w:rPr>
          <w:spacing w:val="-18"/>
        </w:rPr>
        <w:t>在数据资产管理过程中，综合考虑全面风险管理，基于行业模型、</w:t>
      </w:r>
      <w:r>
        <w:rPr>
          <w:spacing w:val="-2"/>
        </w:rPr>
        <w:t>行业标准等积累完整、准确的内外部数据，更好地服务于风险识别、</w:t>
      </w:r>
      <w:r>
        <w:rPr>
          <w:spacing w:val="-2"/>
        </w:rPr>
        <w:t>计量、评估、监测和报告。</w:t>
      </w:r>
    </w:p>
    <w:p>
      <w:pPr>
        <w:pStyle w:val="BodyText"/>
        <w:spacing w:line="358" w:lineRule="exact"/>
        <w:ind w:left="1879"/>
        <w:rPr>
          <w:rFonts w:ascii="黑体" w:eastAsia="黑体"/>
        </w:rPr>
      </w:pPr>
      <w:r>
        <w:rPr>
          <w:rFonts w:ascii="黑体" w:eastAsia="黑体"/>
          <w:spacing w:val="-4"/>
        </w:rPr>
        <w:t>【洞察启示】</w:t>
      </w:r>
    </w:p>
    <w:p>
      <w:pPr>
        <w:pStyle w:val="BodyText"/>
        <w:spacing w:before="9"/>
        <w:rPr>
          <w:rFonts w:ascii="黑体"/>
          <w:sz w:val="20"/>
        </w:rPr>
      </w:pPr>
    </w:p>
    <w:p>
      <w:pPr>
        <w:pStyle w:val="BodyText"/>
        <w:spacing w:line="417" w:lineRule="auto"/>
        <w:ind w:left="1320" w:right="1284" w:firstLine="559"/>
        <w:jc w:val="both"/>
      </w:pPr>
      <w:r>
        <w:rPr>
          <w:spacing w:val="28"/>
        </w:rPr>
        <w:t>中国证监会推动的基于数据模型的行业数据资产管理是对</w:t>
      </w:r>
      <w:r>
        <w:rPr>
          <w:spacing w:val="30"/>
        </w:rPr>
        <w:t> </w:t>
      </w:r>
      <w:r>
        <w:rPr>
          <w:rFonts w:ascii="Times New Roman" w:hAnsi="Times New Roman" w:eastAsia="Times New Roman"/>
        </w:rPr>
        <w:t>DAMA“</w:t>
      </w:r>
      <w:r>
        <w:rPr/>
        <w:t>数据资产行使权力和控制的活动集合</w:t>
      </w:r>
      <w:r>
        <w:rPr>
          <w:rFonts w:ascii="Times New Roman" w:hAnsi="Times New Roman" w:eastAsia="Times New Roman"/>
        </w:rPr>
        <w:t>”</w:t>
      </w:r>
      <w:r>
        <w:rPr/>
        <w:t>这一数据管理活动抽</w:t>
      </w:r>
      <w:r>
        <w:rPr>
          <w:spacing w:val="-4"/>
        </w:rPr>
        <w:t>象定义的具体落地。各行业主管部门、大型公共事业、以及大型企业</w:t>
      </w:r>
      <w:r>
        <w:rPr>
          <w:spacing w:val="-6"/>
        </w:rPr>
        <w:t>的管理层应清晰的认识到数据资产管理对于行业数字化发展、行业监</w:t>
      </w:r>
      <w:r>
        <w:rPr>
          <w:spacing w:val="-4"/>
        </w:rPr>
        <w:t>管、以及大数据战略落地的意义，高度重视数据资产管理的工作，结</w:t>
      </w:r>
      <w:r>
        <w:rPr>
          <w:spacing w:val="-4"/>
        </w:rPr>
        <w:t>合自身业务战略，对照各自行业数据特点、数据管理成熟度、以及未</w:t>
      </w:r>
      <w:r>
        <w:rPr>
          <w:spacing w:val="-4"/>
        </w:rPr>
        <w:t>来行业数字化趋势，学习借鉴证监会的最佳实践，以对行业、企业未</w:t>
      </w:r>
      <w:r>
        <w:rPr>
          <w:spacing w:val="-4"/>
        </w:rPr>
        <w:t>来和社公众的高度责任心、科学的方法、和严谨务实的态度开展数据</w:t>
      </w:r>
      <w:r>
        <w:rPr>
          <w:spacing w:val="-4"/>
        </w:rPr>
        <w:t>资产管理工作，形成一把手带队、组织机构健全、职责清晰到人、嵌</w:t>
      </w:r>
      <w:r>
        <w:rPr>
          <w:spacing w:val="-2"/>
        </w:rPr>
        <w:t>入绩效、自上而下与自下而上结合的数据资产管理文化。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93"/>
        <w:ind w:left="1329" w:right="1325" w:firstLine="0"/>
        <w:jc w:val="center"/>
        <w:rPr>
          <w:rFonts w:ascii="Times New Roman"/>
          <w:sz w:val="18"/>
        </w:rPr>
      </w:pPr>
      <w:r>
        <w:rPr>
          <w:rFonts w:ascii="Times New Roman"/>
          <w:spacing w:val="-5"/>
          <w:sz w:val="18"/>
        </w:rPr>
        <w:t>73</w:t>
      </w:r>
    </w:p>
    <w:p>
      <w:pPr>
        <w:spacing w:after="0"/>
        <w:jc w:val="center"/>
        <w:rPr>
          <w:rFonts w:ascii="Times New Roman"/>
          <w:sz w:val="18"/>
        </w:rPr>
        <w:sectPr>
          <w:headerReference w:type="default" r:id="rId91"/>
          <w:pgSz w:w="11910" w:h="16840"/>
          <w:pgMar w:header="877" w:footer="0" w:top="1100" w:bottom="280" w:left="480" w:right="480"/>
        </w:sectPr>
      </w:pPr>
    </w:p>
    <w:p>
      <w:pPr>
        <w:pStyle w:val="BodyText"/>
        <w:rPr>
          <w:rFonts w:ascii="Times New Roman"/>
          <w:sz w:val="20"/>
        </w:rPr>
      </w:pPr>
    </w:p>
    <w:p>
      <w:pPr>
        <w:pStyle w:val="Heading2"/>
      </w:pPr>
      <w:bookmarkStart w:name="_bookmark73" w:id="74"/>
      <w:bookmarkEnd w:id="74"/>
      <w:r>
        <w:rPr>
          <w:b w:val="0"/>
        </w:rPr>
      </w:r>
      <w:r>
        <w:rPr>
          <w:w w:val="95"/>
        </w:rPr>
        <w:t>（</w:t>
      </w:r>
      <w:r>
        <w:rPr>
          <w:w w:val="95"/>
        </w:rPr>
        <w:t>五</w:t>
      </w:r>
      <w:r>
        <w:rPr>
          <w:w w:val="95"/>
        </w:rPr>
        <w:t>）</w:t>
      </w:r>
      <w:r>
        <w:rPr>
          <w:rFonts w:ascii="Times New Roman" w:hAnsi="Times New Roman" w:eastAsia="Times New Roman"/>
          <w:w w:val="95"/>
        </w:rPr>
        <w:t>“</w:t>
      </w:r>
      <w:r>
        <w:rPr>
          <w:w w:val="95"/>
        </w:rPr>
        <w:t>云</w:t>
      </w:r>
      <w:r>
        <w:rPr>
          <w:w w:val="95"/>
        </w:rPr>
        <w:t>上</w:t>
      </w:r>
      <w:r>
        <w:rPr>
          <w:w w:val="95"/>
        </w:rPr>
        <w:t>贵</w:t>
      </w:r>
      <w:r>
        <w:rPr>
          <w:w w:val="95"/>
        </w:rPr>
        <w:t>州</w:t>
      </w:r>
      <w:r>
        <w:rPr>
          <w:rFonts w:ascii="Times New Roman" w:hAnsi="Times New Roman" w:eastAsia="Times New Roman"/>
          <w:w w:val="95"/>
        </w:rPr>
        <w:t>”</w:t>
      </w:r>
      <w:r>
        <w:rPr>
          <w:w w:val="95"/>
        </w:rPr>
        <w:t>政</w:t>
      </w:r>
      <w:r>
        <w:rPr>
          <w:w w:val="95"/>
        </w:rPr>
        <w:t>务</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302"/>
        <w:ind w:left="1879"/>
        <w:rPr>
          <w:rFonts w:ascii="黑体" w:eastAsia="黑体"/>
        </w:rPr>
      </w:pPr>
      <w:r>
        <w:rPr>
          <w:rFonts w:ascii="黑体" w:eastAsia="黑体"/>
          <w:spacing w:val="-3"/>
        </w:rPr>
        <w:t>【企业基本情况和数据情况】</w:t>
      </w:r>
    </w:p>
    <w:p>
      <w:pPr>
        <w:pStyle w:val="BodyText"/>
        <w:spacing w:before="8"/>
        <w:rPr>
          <w:rFonts w:ascii="黑体"/>
          <w:sz w:val="20"/>
        </w:rPr>
      </w:pPr>
    </w:p>
    <w:p>
      <w:pPr>
        <w:pStyle w:val="BodyText"/>
        <w:spacing w:line="417" w:lineRule="auto" w:before="1"/>
        <w:ind w:left="1320" w:right="1037" w:firstLine="559"/>
      </w:pPr>
      <w:r>
        <w:rPr>
          <w:rFonts w:ascii="Times New Roman" w:hAnsi="Times New Roman" w:eastAsia="Times New Roman"/>
        </w:rPr>
        <w:t>2014</w:t>
      </w:r>
      <w:r>
        <w:rPr>
          <w:rFonts w:ascii="Times New Roman" w:hAnsi="Times New Roman" w:eastAsia="Times New Roman"/>
          <w:spacing w:val="40"/>
        </w:rPr>
        <w:t> </w:t>
      </w:r>
      <w:r>
        <w:rPr/>
        <w:t>年开始，云上贵州大数据产业发展有限公司自主搭建了全</w:t>
      </w:r>
      <w:r>
        <w:rPr/>
        <w:t> </w:t>
      </w:r>
      <w:r>
        <w:rPr>
          <w:spacing w:val="-2"/>
        </w:rPr>
        <w:t>城统一的政府平台</w:t>
      </w:r>
      <w:r>
        <w:rPr>
          <w:rFonts w:ascii="Times New Roman" w:hAnsi="Times New Roman" w:eastAsia="Times New Roman"/>
          <w:spacing w:val="-2"/>
        </w:rPr>
        <w:t>——</w:t>
      </w:r>
      <w:r>
        <w:rPr>
          <w:spacing w:val="-12"/>
        </w:rPr>
        <w:t>云上贵州系统平台，采用国内具有自主知识产</w:t>
      </w:r>
      <w:r>
        <w:rPr>
          <w:spacing w:val="-2"/>
        </w:rPr>
        <w:t> </w:t>
      </w:r>
      <w:r>
        <w:rPr>
          <w:spacing w:val="-9"/>
        </w:rPr>
        <w:t>权的云操作系统，包括国产的服务器，是全国首个实现全省政府数据</w:t>
      </w:r>
      <w:r>
        <w:rPr>
          <w:spacing w:val="-2"/>
        </w:rPr>
        <w:t> </w:t>
      </w:r>
      <w:r>
        <w:rPr>
          <w:spacing w:val="-9"/>
        </w:rPr>
        <w:t>统筹存取和共享、统筹标准和统筹安全的云计算系统平台，现在此平</w:t>
      </w:r>
      <w:r>
        <w:rPr>
          <w:spacing w:val="-2"/>
        </w:rPr>
        <w:t> </w:t>
      </w:r>
      <w:r>
        <w:rPr>
          <w:spacing w:val="-6"/>
        </w:rPr>
        <w:t>台已经被中央网信办确定为全国关键的技术基础设施，并列入中央考</w:t>
      </w:r>
      <w:r>
        <w:rPr>
          <w:spacing w:val="-2"/>
        </w:rPr>
        <w:t> </w:t>
      </w:r>
      <w:r>
        <w:rPr>
          <w:spacing w:val="-2"/>
        </w:rPr>
        <w:t>核检查范围。平台架构分为三层，在基础设施层主要提供云计算、云 </w:t>
      </w:r>
      <w:r>
        <w:rPr>
          <w:spacing w:val="-2"/>
        </w:rPr>
        <w:t>存储和云安全服务以及数据服务。在核心层，重点打造全省统一的数</w:t>
      </w:r>
      <w:r>
        <w:rPr>
          <w:spacing w:val="-2"/>
        </w:rPr>
        <w:t> </w:t>
      </w:r>
      <w:r>
        <w:rPr>
          <w:spacing w:val="-12"/>
        </w:rPr>
        <w:t>据共享交换平台。在应用层主要通过政务网与互联网向全省的公务员、</w:t>
      </w:r>
      <w:r>
        <w:rPr>
          <w:spacing w:val="-2"/>
        </w:rPr>
        <w:t>公民和企业提供物联网服务。</w:t>
      </w:r>
    </w:p>
    <w:p>
      <w:pPr>
        <w:pStyle w:val="BodyText"/>
        <w:spacing w:line="357" w:lineRule="exact"/>
        <w:ind w:left="1879"/>
        <w:rPr>
          <w:rFonts w:ascii="黑体" w:eastAsia="黑体"/>
        </w:rPr>
      </w:pPr>
      <w:r>
        <w:rPr>
          <w:rFonts w:ascii="黑体" w:eastAsia="黑体"/>
          <w:spacing w:val="-4"/>
        </w:rPr>
        <w:t>【痛点和难点】</w:t>
      </w:r>
    </w:p>
    <w:p>
      <w:pPr>
        <w:pStyle w:val="BodyText"/>
        <w:spacing w:before="9"/>
        <w:rPr>
          <w:rFonts w:ascii="黑体"/>
          <w:sz w:val="20"/>
        </w:rPr>
      </w:pPr>
    </w:p>
    <w:p>
      <w:pPr>
        <w:pStyle w:val="BodyText"/>
        <w:spacing w:line="417" w:lineRule="auto"/>
        <w:ind w:left="1320" w:right="1314" w:firstLine="559"/>
        <w:jc w:val="both"/>
      </w:pPr>
      <w:r>
        <w:rPr>
          <w:rFonts w:ascii="Times New Roman" w:eastAsia="Times New Roman"/>
        </w:rPr>
        <w:t>APP</w:t>
      </w:r>
      <w:r>
        <w:rPr>
          <w:rFonts w:ascii="Times New Roman" w:eastAsia="Times New Roman"/>
          <w:spacing w:val="-18"/>
        </w:rPr>
        <w:t> </w:t>
      </w:r>
      <w:r>
        <w:rPr>
          <w:spacing w:val="-11"/>
        </w:rPr>
        <w:t>上线过多，对公民来说是一个沉重负担，贵州统筹了全省的</w:t>
      </w:r>
      <w:r>
        <w:rPr/>
        <w:t> </w:t>
      </w:r>
      <w:r>
        <w:rPr>
          <w:rFonts w:ascii="Times New Roman" w:eastAsia="Times New Roman"/>
          <w:spacing w:val="-4"/>
        </w:rPr>
        <w:t>APP</w:t>
      </w:r>
      <w:r>
        <w:rPr>
          <w:spacing w:val="-7"/>
        </w:rPr>
        <w:t>，不允许各市州自建 </w:t>
      </w:r>
      <w:r>
        <w:rPr>
          <w:rFonts w:ascii="Times New Roman" w:eastAsia="Times New Roman"/>
          <w:spacing w:val="-4"/>
        </w:rPr>
        <w:t>APP</w:t>
      </w:r>
      <w:r>
        <w:rPr>
          <w:spacing w:val="-4"/>
        </w:rPr>
        <w:t>，分城市频道、部门频道。整合各家政</w:t>
      </w:r>
      <w:r>
        <w:rPr>
          <w:spacing w:val="-24"/>
        </w:rPr>
        <w:t>务民生服务，通过统一入口、统一用户认证体系、统一消息推送体系，</w:t>
      </w:r>
      <w:r>
        <w:rPr>
          <w:spacing w:val="-3"/>
        </w:rPr>
        <w:t>打造全省统一的政府服务 </w:t>
      </w:r>
      <w:r>
        <w:rPr>
          <w:rFonts w:ascii="Times New Roman" w:eastAsia="Times New Roman"/>
        </w:rPr>
        <w:t>APP</w:t>
      </w:r>
      <w:r>
        <w:rPr>
          <w:rFonts w:ascii="Times New Roman" w:eastAsia="Times New Roman"/>
          <w:spacing w:val="27"/>
        </w:rPr>
        <w:t> </w:t>
      </w:r>
      <w:r>
        <w:rPr/>
        <w:t>平台。为公民提供涵盖医疗、教育、</w:t>
      </w:r>
      <w:r>
        <w:rPr>
          <w:spacing w:val="-2"/>
        </w:rPr>
        <w:t>交通、生活缴费等多领域的一站式便民服务，聚合了 </w:t>
      </w:r>
      <w:r>
        <w:rPr>
          <w:rFonts w:ascii="Times New Roman" w:eastAsia="Times New Roman"/>
        </w:rPr>
        <w:t>1976</w:t>
      </w:r>
      <w:r>
        <w:rPr>
          <w:rFonts w:ascii="Times New Roman" w:eastAsia="Times New Roman"/>
          <w:spacing w:val="-7"/>
        </w:rPr>
        <w:t> </w:t>
      </w:r>
      <w:r>
        <w:rPr>
          <w:spacing w:val="-3"/>
        </w:rPr>
        <w:t>项服务，</w:t>
      </w:r>
    </w:p>
    <w:p>
      <w:pPr>
        <w:pStyle w:val="BodyText"/>
        <w:spacing w:line="417" w:lineRule="auto"/>
        <w:ind w:left="1320" w:right="1316"/>
        <w:jc w:val="both"/>
      </w:pPr>
      <w:r>
        <w:rPr>
          <w:rFonts w:ascii="Times New Roman" w:hAnsi="Times New Roman" w:eastAsia="Times New Roman"/>
          <w:spacing w:val="-2"/>
        </w:rPr>
        <w:t>148 </w:t>
      </w:r>
      <w:r>
        <w:rPr>
          <w:spacing w:val="-2"/>
        </w:rPr>
        <w:t>项服务可网上办结。通过创新电子政务发展方式，整合各类政府</w:t>
      </w:r>
      <w:r>
        <w:rPr>
          <w:spacing w:val="-2"/>
        </w:rPr>
        <w:t>应用和数据资源，充分发挥</w:t>
      </w:r>
      <w:r>
        <w:rPr>
          <w:rFonts w:ascii="Times New Roman" w:hAnsi="Times New Roman" w:eastAsia="Times New Roman"/>
          <w:spacing w:val="-2"/>
        </w:rPr>
        <w:t>“</w:t>
      </w:r>
      <w:r>
        <w:rPr>
          <w:spacing w:val="-2"/>
        </w:rPr>
        <w:t>互联网</w:t>
      </w:r>
      <w:r>
        <w:rPr>
          <w:rFonts w:ascii="Times New Roman" w:hAnsi="Times New Roman" w:eastAsia="Times New Roman"/>
          <w:spacing w:val="-2"/>
        </w:rPr>
        <w:t>+</w:t>
      </w:r>
      <w:r>
        <w:rPr>
          <w:spacing w:val="-2"/>
        </w:rPr>
        <w:t>政务服务</w:t>
      </w:r>
      <w:r>
        <w:rPr>
          <w:rFonts w:ascii="Times New Roman" w:hAnsi="Times New Roman" w:eastAsia="Times New Roman"/>
          <w:spacing w:val="-2"/>
        </w:rPr>
        <w:t>”</w:t>
      </w:r>
      <w:r>
        <w:rPr>
          <w:spacing w:val="-2"/>
        </w:rPr>
        <w:t>的价值。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93"/>
        <w:ind w:left="1329" w:right="1325" w:firstLine="0"/>
        <w:jc w:val="center"/>
        <w:rPr>
          <w:rFonts w:ascii="Times New Roman"/>
          <w:sz w:val="18"/>
        </w:rPr>
      </w:pPr>
      <w:r>
        <w:rPr>
          <w:rFonts w:ascii="Times New Roman"/>
          <w:spacing w:val="-5"/>
          <w:sz w:val="18"/>
        </w:rPr>
        <w:t>74</w:t>
      </w:r>
    </w:p>
    <w:p>
      <w:pPr>
        <w:spacing w:after="0"/>
        <w:jc w:val="center"/>
        <w:rPr>
          <w:rFonts w:ascii="Times New Roman"/>
          <w:sz w:val="18"/>
        </w:rPr>
        <w:sectPr>
          <w:headerReference w:type="default" r:id="rId92"/>
          <w:pgSz w:w="11910" w:h="16840"/>
          <w:pgMar w:header="877" w:footer="0" w:top="1100" w:bottom="280" w:left="480" w:right="480"/>
        </w:sectPr>
      </w:pPr>
    </w:p>
    <w:p>
      <w:pPr>
        <w:pStyle w:val="BodyText"/>
        <w:rPr>
          <w:rFonts w:ascii="Times New Roman"/>
          <w:sz w:val="20"/>
        </w:rPr>
      </w:pPr>
    </w:p>
    <w:p>
      <w:pPr>
        <w:pStyle w:val="BodyText"/>
        <w:spacing w:before="225"/>
        <w:ind w:left="1879"/>
        <w:rPr>
          <w:rFonts w:ascii="黑体" w:eastAsia="黑体"/>
        </w:rPr>
      </w:pPr>
      <w:r>
        <w:rPr>
          <w:rFonts w:ascii="黑体" w:eastAsia="黑体"/>
          <w:spacing w:val="-4"/>
        </w:rPr>
        <w:t>【实践路径】</w:t>
      </w:r>
    </w:p>
    <w:p>
      <w:pPr>
        <w:pStyle w:val="BodyText"/>
        <w:spacing w:before="8"/>
        <w:rPr>
          <w:rFonts w:ascii="黑体"/>
          <w:sz w:val="20"/>
        </w:rPr>
      </w:pPr>
    </w:p>
    <w:p>
      <w:pPr>
        <w:pStyle w:val="BodyText"/>
        <w:spacing w:before="1"/>
        <w:ind w:left="1879"/>
      </w:pPr>
      <w:r>
        <w:rPr>
          <w:spacing w:val="-3"/>
        </w:rPr>
        <w:t>贵州发展大数据前期在聚、关键在通、目的在用。</w:t>
      </w:r>
    </w:p>
    <w:p>
      <w:pPr>
        <w:pStyle w:val="Heading3"/>
        <w:numPr>
          <w:ilvl w:val="0"/>
          <w:numId w:val="25"/>
        </w:numPr>
        <w:tabs>
          <w:tab w:pos="2203" w:val="left" w:leader="none"/>
        </w:tabs>
        <w:spacing w:line="240" w:lineRule="auto" w:before="237" w:after="0"/>
        <w:ind w:left="2202" w:right="0" w:hanging="242"/>
        <w:jc w:val="left"/>
      </w:pPr>
      <w:r>
        <w:rPr>
          <w:w w:val="95"/>
        </w:rPr>
        <w:t>在</w:t>
      </w:r>
      <w:r>
        <w:rPr>
          <w:rFonts w:ascii="Times New Roman" w:hAnsi="Times New Roman" w:eastAsia="Times New Roman"/>
          <w:w w:val="95"/>
        </w:rPr>
        <w:t>“</w:t>
      </w:r>
      <w:r>
        <w:rPr>
          <w:w w:val="95"/>
        </w:rPr>
        <w:t>聚</w:t>
      </w:r>
      <w:r>
        <w:rPr>
          <w:rFonts w:ascii="Times New Roman" w:hAnsi="Times New Roman" w:eastAsia="Times New Roman"/>
          <w:w w:val="95"/>
        </w:rPr>
        <w:t>”</w:t>
      </w:r>
      <w:r>
        <w:rPr>
          <w:w w:val="95"/>
        </w:rPr>
        <w:t>方</w:t>
      </w:r>
      <w:r>
        <w:rPr>
          <w:spacing w:val="-10"/>
          <w:w w:val="95"/>
        </w:rPr>
        <w:t>面</w:t>
      </w:r>
    </w:p>
    <w:p>
      <w:pPr>
        <w:pStyle w:val="BodyText"/>
        <w:spacing w:line="417" w:lineRule="auto" w:before="242"/>
        <w:ind w:left="1320" w:right="1175" w:firstLine="559"/>
      </w:pPr>
      <w:r>
        <w:rPr/>
        <w:t>从 </w:t>
      </w:r>
      <w:r>
        <w:rPr>
          <w:rFonts w:ascii="Times New Roman" w:eastAsia="Times New Roman"/>
        </w:rPr>
        <w:t>2014</w:t>
      </w:r>
      <w:r>
        <w:rPr>
          <w:rFonts w:ascii="Times New Roman" w:eastAsia="Times New Roman"/>
          <w:spacing w:val="22"/>
        </w:rPr>
        <w:t> </w:t>
      </w:r>
      <w:r>
        <w:rPr/>
        <w:t>年开始，用了四年时间逐渐迁移到云上。针对国家大数</w:t>
      </w:r>
      <w:r>
        <w:rPr>
          <w:spacing w:val="-2"/>
        </w:rPr>
        <w:t>据建设要求全省的政府应用系统全部要迁入到云上贵州系统平台上，</w:t>
      </w:r>
      <w:r>
        <w:rPr/>
        <w:t>贵州省大数据中心利用数据架构职能，从 </w:t>
      </w:r>
      <w:r>
        <w:rPr>
          <w:rFonts w:ascii="Times New Roman" w:eastAsia="Times New Roman"/>
        </w:rPr>
        <w:t>2015</w:t>
      </w:r>
      <w:r>
        <w:rPr>
          <w:rFonts w:ascii="Times New Roman" w:eastAsia="Times New Roman"/>
          <w:spacing w:val="22"/>
        </w:rPr>
        <w:t> </w:t>
      </w:r>
      <w:r>
        <w:rPr/>
        <w:t>年开始，凡是省级财</w:t>
      </w:r>
      <w:r>
        <w:rPr>
          <w:spacing w:val="-6"/>
        </w:rPr>
        <w:t>政新建的信息化系统必须基于同一个云平台进行开发，每个部门的信</w:t>
      </w:r>
      <w:r>
        <w:rPr>
          <w:spacing w:val="-2"/>
        </w:rPr>
        <w:t>息化项目在立项之前，方案必须拿到省大数据局做前置审批，不允许</w:t>
      </w:r>
      <w:r>
        <w:rPr>
          <w:spacing w:val="-2"/>
        </w:rPr>
        <w:t>单独建服务器、交换器，要基于云的架构、项目，购买云服务来解决</w:t>
      </w:r>
      <w:r>
        <w:rPr>
          <w:spacing w:val="-12"/>
        </w:rPr>
        <w:t>信息化建设的问题。截止到 </w:t>
      </w:r>
      <w:r>
        <w:rPr>
          <w:rFonts w:ascii="Times New Roman" w:eastAsia="Times New Roman"/>
        </w:rPr>
        <w:t>2017 </w:t>
      </w:r>
      <w:r>
        <w:rPr>
          <w:spacing w:val="-24"/>
        </w:rPr>
        <w:t>年 </w:t>
      </w:r>
      <w:r>
        <w:rPr>
          <w:rFonts w:ascii="Times New Roman" w:eastAsia="Times New Roman"/>
        </w:rPr>
        <w:t>5 </w:t>
      </w:r>
      <w:r>
        <w:rPr>
          <w:spacing w:val="-13"/>
        </w:rPr>
        <w:t>月底，平台共集聚政府部门 </w:t>
      </w:r>
      <w:r>
        <w:rPr>
          <w:rFonts w:ascii="Times New Roman" w:eastAsia="Times New Roman"/>
        </w:rPr>
        <w:t>612</w:t>
      </w:r>
      <w:r>
        <w:rPr/>
        <w:t>个应用系统，</w:t>
      </w:r>
      <w:r>
        <w:rPr>
          <w:rFonts w:ascii="Times New Roman" w:eastAsia="Times New Roman"/>
        </w:rPr>
        <w:t>220T </w:t>
      </w:r>
      <w:r>
        <w:rPr/>
        <w:t>的数据。</w:t>
      </w:r>
    </w:p>
    <w:p>
      <w:pPr>
        <w:pStyle w:val="Heading3"/>
        <w:numPr>
          <w:ilvl w:val="0"/>
          <w:numId w:val="25"/>
        </w:numPr>
        <w:tabs>
          <w:tab w:pos="2203" w:val="left" w:leader="none"/>
        </w:tabs>
        <w:spacing w:line="381" w:lineRule="exact" w:before="0" w:after="0"/>
        <w:ind w:left="2202" w:right="0" w:hanging="242"/>
        <w:jc w:val="left"/>
      </w:pPr>
      <w:r>
        <w:rPr>
          <w:w w:val="95"/>
        </w:rPr>
        <w:t>在</w:t>
      </w:r>
      <w:r>
        <w:rPr>
          <w:rFonts w:ascii="Times New Roman" w:hAnsi="Times New Roman" w:eastAsia="Times New Roman"/>
          <w:w w:val="95"/>
        </w:rPr>
        <w:t>“</w:t>
      </w:r>
      <w:r>
        <w:rPr>
          <w:w w:val="95"/>
        </w:rPr>
        <w:t>通</w:t>
      </w:r>
      <w:r>
        <w:rPr>
          <w:rFonts w:ascii="Times New Roman" w:hAnsi="Times New Roman" w:eastAsia="Times New Roman"/>
          <w:w w:val="95"/>
        </w:rPr>
        <w:t>”</w:t>
      </w:r>
      <w:r>
        <w:rPr>
          <w:w w:val="95"/>
        </w:rPr>
        <w:t>方</w:t>
      </w:r>
      <w:r>
        <w:rPr>
          <w:spacing w:val="-10"/>
          <w:w w:val="95"/>
        </w:rPr>
        <w:t>面</w:t>
      </w:r>
    </w:p>
    <w:p>
      <w:pPr>
        <w:pStyle w:val="BodyText"/>
        <w:spacing w:line="417" w:lineRule="auto" w:before="242"/>
        <w:ind w:left="1320" w:right="1316" w:firstLine="698"/>
        <w:jc w:val="both"/>
      </w:pPr>
      <w:r>
        <w:rPr>
          <w:spacing w:val="-2"/>
        </w:rPr>
        <w:t>在今年数博会期间，云上贵州大数据产业发展有限公司与国家</w:t>
      </w:r>
      <w:r>
        <w:rPr>
          <w:spacing w:val="-7"/>
        </w:rPr>
        <w:t>信息中心正式签订了协议并进行了两次对接，贵州将率先进入国家重</w:t>
      </w:r>
      <w:r>
        <w:rPr>
          <w:spacing w:val="-4"/>
        </w:rPr>
        <w:t>要平台，国家要求贵州先整合省内的共享交换平台，再统一接入到国</w:t>
      </w:r>
      <w:r>
        <w:rPr>
          <w:spacing w:val="-4"/>
        </w:rPr>
        <w:t>家平台。</w:t>
      </w:r>
    </w:p>
    <w:p>
      <w:pPr>
        <w:pStyle w:val="BodyText"/>
        <w:spacing w:line="417" w:lineRule="auto"/>
        <w:ind w:left="1320" w:right="1313" w:firstLine="559"/>
        <w:jc w:val="both"/>
      </w:pPr>
      <w:r>
        <w:rPr>
          <w:spacing w:val="-2"/>
        </w:rPr>
        <w:t>在数据资产管理和数据标准管理方面，在 </w:t>
      </w:r>
      <w:r>
        <w:rPr>
          <w:rFonts w:ascii="Times New Roman" w:eastAsia="Times New Roman"/>
        </w:rPr>
        <w:t>2015</w:t>
      </w:r>
      <w:r>
        <w:rPr>
          <w:rFonts w:ascii="Times New Roman" w:eastAsia="Times New Roman"/>
          <w:spacing w:val="-18"/>
        </w:rPr>
        <w:t> </w:t>
      </w:r>
      <w:r>
        <w:rPr/>
        <w:t>年开始要求各个</w:t>
      </w:r>
      <w:r>
        <w:rPr>
          <w:spacing w:val="-4"/>
        </w:rPr>
        <w:t>部门对数据进行梳理时，却发现缺乏标准。为了数据资产管理的有效</w:t>
      </w:r>
      <w:r>
        <w:rPr>
          <w:spacing w:val="-4"/>
        </w:rPr>
        <w:t>性和便捷性，在工信部建交院的指导下，云上贵州大数据产业发展有</w:t>
      </w:r>
      <w:r>
        <w:rPr>
          <w:spacing w:val="-22"/>
        </w:rPr>
        <w:t>限公司发布了四个地方标准，即：《政府数据分类分级指南》、《政府</w:t>
      </w:r>
      <w:r>
        <w:rPr>
          <w:spacing w:val="-11"/>
        </w:rPr>
        <w:t>数据元数据核心元数据的描述和规范》</w:t>
      </w:r>
      <w:r>
        <w:rPr>
          <w:spacing w:val="-34"/>
        </w:rPr>
        <w:t>、《资源目录编制指南》</w:t>
      </w:r>
      <w:r>
        <w:rPr>
          <w:spacing w:val="-49"/>
        </w:rPr>
        <w:t>、《政府</w:t>
      </w:r>
      <w:r>
        <w:rPr>
          <w:spacing w:val="-10"/>
        </w:rPr>
        <w:t>数据的脱敏指南》要求各级政府部门用这四个标准做数据梳理。数据</w:t>
      </w:r>
    </w:p>
    <w:p>
      <w:pPr>
        <w:pStyle w:val="BodyText"/>
        <w:spacing w:before="8"/>
        <w:rPr>
          <w:sz w:val="18"/>
        </w:rPr>
      </w:pPr>
    </w:p>
    <w:p>
      <w:pPr>
        <w:spacing w:before="93"/>
        <w:ind w:left="1329" w:right="1325" w:firstLine="0"/>
        <w:jc w:val="center"/>
        <w:rPr>
          <w:rFonts w:ascii="Times New Roman"/>
          <w:sz w:val="18"/>
        </w:rPr>
      </w:pPr>
      <w:r>
        <w:rPr>
          <w:rFonts w:ascii="Times New Roman"/>
          <w:spacing w:val="-5"/>
          <w:sz w:val="18"/>
        </w:rPr>
        <w:t>75</w:t>
      </w:r>
    </w:p>
    <w:p>
      <w:pPr>
        <w:spacing w:after="0"/>
        <w:jc w:val="center"/>
        <w:rPr>
          <w:rFonts w:ascii="Times New Roman"/>
          <w:sz w:val="18"/>
        </w:rPr>
        <w:sectPr>
          <w:headerReference w:type="default" r:id="rId93"/>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jc w:val="both"/>
      </w:pPr>
      <w:r>
        <w:rPr>
          <w:spacing w:val="-7"/>
        </w:rPr>
        <w:t>标准化管理对数据资产管理中的数据梳理、数据共享和数据开放等都</w:t>
      </w:r>
      <w:r>
        <w:rPr>
          <w:spacing w:val="-13"/>
        </w:rPr>
        <w:t>起到了事半功倍的效果，到目前为止省级部门总共梳理 </w:t>
      </w:r>
      <w:r>
        <w:rPr>
          <w:rFonts w:ascii="Times New Roman" w:eastAsia="Times New Roman"/>
          <w:spacing w:val="-2"/>
        </w:rPr>
        <w:t>16000</w:t>
      </w:r>
      <w:r>
        <w:rPr>
          <w:rFonts w:ascii="Times New Roman" w:eastAsia="Times New Roman"/>
          <w:spacing w:val="16"/>
        </w:rPr>
        <w:t> </w:t>
      </w:r>
      <w:r>
        <w:rPr>
          <w:spacing w:val="-5"/>
        </w:rPr>
        <w:t>多个数</w:t>
      </w:r>
    </w:p>
    <w:p>
      <w:pPr>
        <w:pStyle w:val="BodyText"/>
        <w:spacing w:line="358" w:lineRule="exact"/>
        <w:ind w:left="1320"/>
        <w:jc w:val="both"/>
      </w:pPr>
      <w:r>
        <w:rPr>
          <w:spacing w:val="9"/>
        </w:rPr>
        <w:t>据目录，在平台上共享的数据集有 </w:t>
      </w:r>
      <w:r>
        <w:rPr>
          <w:rFonts w:ascii="Times New Roman" w:eastAsia="Times New Roman"/>
        </w:rPr>
        <w:t>253</w:t>
      </w:r>
      <w:r>
        <w:rPr>
          <w:rFonts w:ascii="Times New Roman" w:eastAsia="Times New Roman"/>
          <w:spacing w:val="49"/>
          <w:w w:val="150"/>
        </w:rPr>
        <w:t> </w:t>
      </w:r>
      <w:r>
        <w:rPr>
          <w:spacing w:val="11"/>
        </w:rPr>
        <w:t>个，共享数据量已经到达</w:t>
      </w:r>
    </w:p>
    <w:p>
      <w:pPr>
        <w:pStyle w:val="BodyText"/>
        <w:spacing w:line="417" w:lineRule="auto" w:before="265"/>
        <w:ind w:left="1320" w:right="1315"/>
        <w:jc w:val="both"/>
      </w:pPr>
      <w:r>
        <w:rPr>
          <w:rFonts w:ascii="Times New Roman" w:eastAsia="Times New Roman"/>
          <w:w w:val="95"/>
        </w:rPr>
        <w:t>4500000</w:t>
      </w:r>
      <w:r>
        <w:rPr>
          <w:rFonts w:ascii="Times New Roman" w:eastAsia="Times New Roman"/>
          <w:spacing w:val="40"/>
        </w:rPr>
        <w:t> </w:t>
      </w:r>
      <w:r>
        <w:rPr>
          <w:w w:val="95"/>
        </w:rPr>
        <w:t>条。数</w:t>
      </w:r>
      <w:r>
        <w:rPr>
          <w:w w:val="95"/>
        </w:rPr>
        <w:t>据</w:t>
      </w:r>
      <w:r>
        <w:rPr>
          <w:w w:val="95"/>
        </w:rPr>
        <w:t>开</w:t>
      </w:r>
      <w:r>
        <w:rPr>
          <w:w w:val="95"/>
        </w:rPr>
        <w:t>放</w:t>
      </w:r>
      <w:r>
        <w:rPr>
          <w:w w:val="95"/>
        </w:rPr>
        <w:t>平</w:t>
      </w:r>
      <w:r>
        <w:rPr>
          <w:w w:val="95"/>
        </w:rPr>
        <w:t>台</w:t>
      </w:r>
      <w:r>
        <w:rPr>
          <w:w w:val="95"/>
        </w:rPr>
        <w:t>是</w:t>
      </w:r>
      <w:r>
        <w:rPr>
          <w:w w:val="95"/>
        </w:rPr>
        <w:t>去</w:t>
      </w:r>
      <w:r>
        <w:rPr>
          <w:w w:val="95"/>
        </w:rPr>
        <w:t>年</w:t>
      </w:r>
      <w:r>
        <w:rPr>
          <w:spacing w:val="-16"/>
          <w:w w:val="95"/>
        </w:rPr>
        <w:t> </w:t>
      </w:r>
      <w:r>
        <w:rPr>
          <w:rFonts w:ascii="Times New Roman" w:eastAsia="Times New Roman"/>
          <w:w w:val="95"/>
        </w:rPr>
        <w:t>9</w:t>
      </w:r>
      <w:r>
        <w:rPr>
          <w:rFonts w:ascii="Times New Roman" w:eastAsia="Times New Roman"/>
          <w:spacing w:val="40"/>
        </w:rPr>
        <w:t> </w:t>
      </w:r>
      <w:r>
        <w:rPr>
          <w:spacing w:val="-8"/>
          <w:w w:val="95"/>
        </w:rPr>
        <w:t>月 </w:t>
      </w:r>
      <w:r>
        <w:rPr>
          <w:rFonts w:ascii="Times New Roman" w:eastAsia="Times New Roman"/>
          <w:w w:val="95"/>
        </w:rPr>
        <w:t>30</w:t>
      </w:r>
      <w:r>
        <w:rPr>
          <w:rFonts w:ascii="Times New Roman" w:eastAsia="Times New Roman"/>
          <w:spacing w:val="40"/>
        </w:rPr>
        <w:t> </w:t>
      </w:r>
      <w:r>
        <w:rPr>
          <w:w w:val="95"/>
        </w:rPr>
        <w:t>号</w:t>
      </w:r>
      <w:r>
        <w:rPr>
          <w:w w:val="95"/>
        </w:rPr>
        <w:t>上</w:t>
      </w:r>
      <w:r>
        <w:rPr>
          <w:w w:val="95"/>
        </w:rPr>
        <w:t>线</w:t>
      </w:r>
      <w:r>
        <w:rPr>
          <w:w w:val="95"/>
        </w:rPr>
        <w:t>的</w:t>
      </w:r>
      <w:r>
        <w:rPr>
          <w:w w:val="95"/>
        </w:rPr>
        <w:t>，目</w:t>
      </w:r>
      <w:r>
        <w:rPr>
          <w:w w:val="95"/>
        </w:rPr>
        <w:t>前</w:t>
      </w:r>
      <w:r>
        <w:rPr>
          <w:w w:val="95"/>
        </w:rPr>
        <w:t>已</w:t>
      </w:r>
      <w:r>
        <w:rPr>
          <w:w w:val="95"/>
        </w:rPr>
        <w:t>经</w:t>
      </w:r>
      <w:r>
        <w:rPr>
          <w:w w:val="95"/>
        </w:rPr>
        <w:t>有</w:t>
      </w:r>
      <w:r>
        <w:rPr>
          <w:spacing w:val="-16"/>
          <w:w w:val="95"/>
        </w:rPr>
        <w:t> </w:t>
      </w:r>
      <w:r>
        <w:rPr>
          <w:rFonts w:ascii="Times New Roman" w:eastAsia="Times New Roman"/>
          <w:w w:val="95"/>
        </w:rPr>
        <w:t>538</w:t>
      </w:r>
      <w:r>
        <w:rPr>
          <w:spacing w:val="-2"/>
        </w:rPr>
        <w:t>项可下载使用、可进行二次开发的政府绿色公共数据资源，</w:t>
      </w:r>
      <w:r>
        <w:rPr>
          <w:rFonts w:ascii="Times New Roman" w:eastAsia="Times New Roman"/>
          <w:spacing w:val="-2"/>
        </w:rPr>
        <w:t>API</w:t>
      </w:r>
      <w:r>
        <w:rPr>
          <w:rFonts w:ascii="Times New Roman" w:eastAsia="Times New Roman"/>
          <w:spacing w:val="-16"/>
        </w:rPr>
        <w:t> </w:t>
      </w:r>
      <w:r>
        <w:rPr>
          <w:spacing w:val="-2"/>
        </w:rPr>
        <w:t>类型</w:t>
      </w:r>
      <w:r>
        <w:rPr>
          <w:spacing w:val="-5"/>
        </w:rPr>
        <w:t>数据达到 </w:t>
      </w:r>
      <w:r>
        <w:rPr>
          <w:rFonts w:ascii="Times New Roman" w:eastAsia="Times New Roman"/>
        </w:rPr>
        <w:t>129 </w:t>
      </w:r>
      <w:r>
        <w:rPr/>
        <w:t>个。</w:t>
      </w:r>
    </w:p>
    <w:p>
      <w:pPr>
        <w:pStyle w:val="BodyText"/>
        <w:ind w:left="1879"/>
        <w:rPr>
          <w:rFonts w:ascii="黑体" w:eastAsia="黑体"/>
        </w:rPr>
      </w:pPr>
      <w:r>
        <w:rPr>
          <w:rFonts w:ascii="黑体" w:eastAsia="黑体"/>
          <w:spacing w:val="-4"/>
        </w:rPr>
        <w:t>【应用效果】</w:t>
      </w:r>
    </w:p>
    <w:p>
      <w:pPr>
        <w:pStyle w:val="Heading3"/>
        <w:numPr>
          <w:ilvl w:val="0"/>
          <w:numId w:val="26"/>
        </w:numPr>
        <w:tabs>
          <w:tab w:pos="2203" w:val="left" w:leader="none"/>
        </w:tabs>
        <w:spacing w:line="240" w:lineRule="auto" w:before="237" w:after="0"/>
        <w:ind w:left="2202" w:right="0" w:hanging="242"/>
        <w:jc w:val="left"/>
      </w:pPr>
      <w:r>
        <w:rPr>
          <w:w w:val="95"/>
        </w:rPr>
        <w:t>全</w:t>
      </w:r>
      <w:r>
        <w:rPr>
          <w:w w:val="95"/>
        </w:rPr>
        <w:t>省</w:t>
      </w:r>
      <w:r>
        <w:rPr>
          <w:w w:val="95"/>
        </w:rPr>
        <w:t>公</w:t>
      </w:r>
      <w:r>
        <w:rPr>
          <w:w w:val="95"/>
        </w:rPr>
        <w:t>共</w:t>
      </w:r>
      <w:r>
        <w:rPr>
          <w:w w:val="95"/>
        </w:rPr>
        <w:t>资</w:t>
      </w:r>
      <w:r>
        <w:rPr>
          <w:w w:val="95"/>
        </w:rPr>
        <w:t>源</w:t>
      </w:r>
      <w:r>
        <w:rPr>
          <w:w w:val="95"/>
        </w:rPr>
        <w:t>交</w:t>
      </w:r>
      <w:r>
        <w:rPr>
          <w:w w:val="95"/>
        </w:rPr>
        <w:t>易</w:t>
      </w:r>
      <w:r>
        <w:rPr>
          <w:w w:val="95"/>
        </w:rPr>
        <w:t>中</w:t>
      </w:r>
      <w:r>
        <w:rPr>
          <w:spacing w:val="-10"/>
          <w:w w:val="95"/>
        </w:rPr>
        <w:t>心</w:t>
      </w:r>
    </w:p>
    <w:p>
      <w:pPr>
        <w:pStyle w:val="BodyText"/>
        <w:spacing w:line="417" w:lineRule="auto" w:before="242"/>
        <w:ind w:left="1320" w:right="1313" w:firstLine="559"/>
        <w:jc w:val="both"/>
      </w:pPr>
      <w:r>
        <w:rPr>
          <w:spacing w:val="-7"/>
        </w:rPr>
        <w:t>它把互联互通平台和交易平台全部放置在云上，同时对数据进行</w:t>
      </w:r>
      <w:r>
        <w:rPr>
          <w:spacing w:val="-4"/>
        </w:rPr>
        <w:t>建模、加工与分析。过去创标、围标、预约的情况比较多，经过分析</w:t>
      </w:r>
      <w:r>
        <w:rPr>
          <w:spacing w:val="-4"/>
        </w:rPr>
        <w:t>后，发现有些标投了很多次，但从来没有中过一次标，而且有的公司</w:t>
      </w:r>
      <w:r>
        <w:rPr>
          <w:spacing w:val="-5"/>
        </w:rPr>
        <w:t>会绑定在一起去投标，针对此类问题，用主数据管理和数据模型管理</w:t>
      </w:r>
      <w:r>
        <w:rPr>
          <w:spacing w:val="-4"/>
        </w:rPr>
        <w:t>职能，进行数据画像和建模，发现了原来管理上不易发现的问题，最</w:t>
      </w:r>
      <w:r>
        <w:rPr>
          <w:spacing w:val="-2"/>
        </w:rPr>
        <w:t>终交易时间能够缩短到五天，效率提高六倍以上。</w:t>
      </w:r>
    </w:p>
    <w:p>
      <w:pPr>
        <w:pStyle w:val="Heading3"/>
        <w:numPr>
          <w:ilvl w:val="0"/>
          <w:numId w:val="26"/>
        </w:numPr>
        <w:tabs>
          <w:tab w:pos="2203" w:val="left" w:leader="none"/>
        </w:tabs>
        <w:spacing w:line="381" w:lineRule="exact" w:before="0" w:after="0"/>
        <w:ind w:left="2202" w:right="0" w:hanging="242"/>
        <w:jc w:val="left"/>
        <w:rPr>
          <w:rFonts w:ascii="Times New Roman" w:hAnsi="Times New Roman" w:eastAsia="Times New Roman"/>
        </w:rPr>
      </w:pPr>
      <w:r>
        <w:rPr>
          <w:w w:val="95"/>
        </w:rPr>
        <w:t>工商</w:t>
      </w:r>
      <w:r>
        <w:rPr>
          <w:rFonts w:ascii="Times New Roman" w:hAnsi="Times New Roman" w:eastAsia="Times New Roman"/>
          <w:w w:val="95"/>
        </w:rPr>
        <w:t>“</w:t>
      </w:r>
      <w:r>
        <w:rPr>
          <w:w w:val="95"/>
        </w:rPr>
        <w:t>五</w:t>
      </w:r>
      <w:r>
        <w:rPr>
          <w:w w:val="95"/>
        </w:rPr>
        <w:t>证</w:t>
      </w:r>
      <w:r>
        <w:rPr>
          <w:w w:val="95"/>
        </w:rPr>
        <w:t>合</w:t>
      </w:r>
      <w:r>
        <w:rPr>
          <w:w w:val="95"/>
        </w:rPr>
        <w:t>一</w:t>
      </w:r>
      <w:r>
        <w:rPr>
          <w:rFonts w:ascii="Times New Roman" w:hAnsi="Times New Roman" w:eastAsia="Times New Roman"/>
          <w:spacing w:val="-10"/>
          <w:w w:val="95"/>
        </w:rPr>
        <w:t>”</w:t>
      </w:r>
    </w:p>
    <w:p>
      <w:pPr>
        <w:pStyle w:val="BodyText"/>
        <w:spacing w:line="417" w:lineRule="auto" w:before="242"/>
        <w:ind w:left="1320" w:right="1038" w:firstLine="559"/>
      </w:pPr>
      <w:r>
        <w:rPr>
          <w:spacing w:val="-2"/>
        </w:rPr>
        <w:t>依托云上贵州数据共享交换实现工商、国税、地税、人社、质监</w:t>
      </w:r>
      <w:r>
        <w:rPr>
          <w:spacing w:val="-2"/>
        </w:rPr>
        <w:t> </w:t>
      </w:r>
      <w:r>
        <w:rPr>
          <w:spacing w:val="-6"/>
        </w:rPr>
        <w:t>及统计六个部门业务数据实时共享，实现</w:t>
      </w:r>
      <w:r>
        <w:rPr>
          <w:rFonts w:ascii="Times New Roman" w:hAnsi="Times New Roman" w:eastAsia="Times New Roman"/>
          <w:spacing w:val="-2"/>
        </w:rPr>
        <w:t>“</w:t>
      </w:r>
      <w:r>
        <w:rPr>
          <w:spacing w:val="-2"/>
        </w:rPr>
        <w:t>一照一码</w:t>
      </w:r>
      <w:r>
        <w:rPr>
          <w:rFonts w:ascii="Times New Roman" w:hAnsi="Times New Roman" w:eastAsia="Times New Roman"/>
          <w:spacing w:val="-2"/>
        </w:rPr>
        <w:t>”</w:t>
      </w:r>
      <w:r>
        <w:rPr>
          <w:spacing w:val="-2"/>
        </w:rPr>
        <w:t>业务数据多跑路，</w:t>
      </w:r>
      <w:r>
        <w:rPr>
          <w:spacing w:val="-2"/>
        </w:rPr>
        <w:t>企业少跑腿，为企业注册带来极大的便利。</w:t>
      </w:r>
    </w:p>
    <w:p>
      <w:pPr>
        <w:pStyle w:val="Heading3"/>
        <w:numPr>
          <w:ilvl w:val="0"/>
          <w:numId w:val="26"/>
        </w:numPr>
        <w:tabs>
          <w:tab w:pos="2203" w:val="left" w:leader="none"/>
        </w:tabs>
        <w:spacing w:line="382" w:lineRule="exact" w:before="0" w:after="0"/>
        <w:ind w:left="2202" w:right="0" w:hanging="242"/>
        <w:jc w:val="left"/>
      </w:pPr>
      <w:r>
        <w:rPr>
          <w:w w:val="95"/>
        </w:rPr>
        <w:t>数</w:t>
      </w:r>
      <w:r>
        <w:rPr>
          <w:w w:val="95"/>
        </w:rPr>
        <w:t>据</w:t>
      </w:r>
      <w:r>
        <w:rPr>
          <w:w w:val="95"/>
        </w:rPr>
        <w:t>铁</w:t>
      </w:r>
      <w:r>
        <w:rPr>
          <w:spacing w:val="-10"/>
          <w:w w:val="95"/>
        </w:rPr>
        <w:t>笼</w:t>
      </w:r>
    </w:p>
    <w:p>
      <w:pPr>
        <w:pStyle w:val="BodyText"/>
        <w:spacing w:line="417" w:lineRule="auto" w:before="242"/>
        <w:ind w:left="1320" w:right="1037" w:firstLine="559"/>
      </w:pPr>
      <w:r>
        <w:rPr>
          <w:w w:val="100"/>
        </w:rPr>
        <w:t>数据铁笼即用数据编织规范制约权力的</w:t>
      </w:r>
      <w:r>
        <w:rPr>
          <w:rFonts w:ascii="Times New Roman" w:hAnsi="Times New Roman" w:eastAsia="Times New Roman"/>
          <w:spacing w:val="-3"/>
          <w:w w:val="100"/>
        </w:rPr>
        <w:t>“</w:t>
      </w:r>
      <w:r>
        <w:rPr>
          <w:spacing w:val="3"/>
          <w:w w:val="100"/>
        </w:rPr>
        <w:t>笼子</w:t>
      </w:r>
      <w:r>
        <w:rPr>
          <w:rFonts w:ascii="Times New Roman" w:hAnsi="Times New Roman" w:eastAsia="Times New Roman"/>
          <w:w w:val="100"/>
        </w:rPr>
        <w:t>”</w:t>
      </w:r>
      <w:r>
        <w:rPr>
          <w:spacing w:val="2"/>
          <w:w w:val="100"/>
        </w:rPr>
        <w:t>，实现数据留痕、</w:t>
      </w:r>
      <w:r>
        <w:rPr>
          <w:spacing w:val="-7"/>
          <w:w w:val="100"/>
        </w:rPr>
        <w:t>权力可视、规范运行，有效防止</w:t>
      </w:r>
      <w:r>
        <w:rPr>
          <w:rFonts w:ascii="Times New Roman" w:hAnsi="Times New Roman" w:eastAsia="Times New Roman"/>
          <w:spacing w:val="-5"/>
          <w:w w:val="100"/>
        </w:rPr>
        <w:t>“</w:t>
      </w:r>
      <w:r>
        <w:rPr>
          <w:w w:val="100"/>
        </w:rPr>
        <w:t>权力任性</w:t>
      </w:r>
      <w:r>
        <w:rPr>
          <w:rFonts w:ascii="Times New Roman" w:hAnsi="Times New Roman" w:eastAsia="Times New Roman"/>
          <w:spacing w:val="-3"/>
          <w:w w:val="100"/>
        </w:rPr>
        <w:t>”</w:t>
      </w:r>
      <w:r>
        <w:rPr>
          <w:spacing w:val="-5"/>
          <w:w w:val="100"/>
        </w:rPr>
        <w:t>。利用数据资产流通运营</w:t>
      </w:r>
      <w:r>
        <w:rPr>
          <w:spacing w:val="-5"/>
          <w:w w:val="100"/>
        </w:rPr>
        <w:t> </w:t>
      </w:r>
      <w:r>
        <w:rPr>
          <w:spacing w:val="-12"/>
          <w:w w:val="100"/>
        </w:rPr>
        <w:t>的职能，贵州省各级政府统一采用由省政务中心开发的网上办事大厅，</w:t>
      </w:r>
    </w:p>
    <w:p>
      <w:pPr>
        <w:spacing w:before="114"/>
        <w:ind w:left="1329" w:right="1325" w:firstLine="0"/>
        <w:jc w:val="center"/>
        <w:rPr>
          <w:rFonts w:ascii="Times New Roman"/>
          <w:sz w:val="18"/>
        </w:rPr>
      </w:pPr>
      <w:r>
        <w:rPr>
          <w:rFonts w:ascii="Times New Roman"/>
          <w:spacing w:val="-5"/>
          <w:sz w:val="18"/>
        </w:rPr>
        <w:t>76</w:t>
      </w:r>
    </w:p>
    <w:p>
      <w:pPr>
        <w:spacing w:after="0"/>
        <w:jc w:val="center"/>
        <w:rPr>
          <w:rFonts w:ascii="Times New Roman"/>
          <w:sz w:val="18"/>
        </w:rPr>
        <w:sectPr>
          <w:headerReference w:type="default" r:id="rId94"/>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jc w:val="both"/>
      </w:pPr>
      <w:r>
        <w:rPr>
          <w:spacing w:val="-2"/>
        </w:rPr>
        <w:t>所有数据都集中在</w:t>
      </w:r>
      <w:r>
        <w:rPr>
          <w:rFonts w:ascii="Times New Roman" w:hAnsi="Times New Roman" w:eastAsia="Times New Roman"/>
          <w:spacing w:val="-2"/>
        </w:rPr>
        <w:t>“</w:t>
      </w:r>
      <w:r>
        <w:rPr>
          <w:spacing w:val="-2"/>
        </w:rPr>
        <w:t>云上贵州系统云平台</w:t>
      </w:r>
      <w:r>
        <w:rPr>
          <w:rFonts w:ascii="Times New Roman" w:hAnsi="Times New Roman" w:eastAsia="Times New Roman"/>
          <w:spacing w:val="-2"/>
        </w:rPr>
        <w:t>”</w:t>
      </w:r>
      <w:r>
        <w:rPr>
          <w:spacing w:val="-2"/>
        </w:rPr>
        <w:t>，通过数据汇聚以及数据共</w:t>
      </w:r>
      <w:r>
        <w:rPr>
          <w:spacing w:val="-4"/>
        </w:rPr>
        <w:t>享，发挥大数据的应用，取得了很好的效果，并且贵州网上办事大厅</w:t>
      </w:r>
      <w:r>
        <w:rPr>
          <w:spacing w:val="-4"/>
        </w:rPr>
        <w:t>被国务院办公厅列为示范。通过采用省公安系统大数据平台，两枪案</w:t>
      </w:r>
      <w:r>
        <w:rPr>
          <w:w w:val="95"/>
        </w:rPr>
        <w:t>件</w:t>
      </w:r>
      <w:r>
        <w:rPr>
          <w:w w:val="95"/>
        </w:rPr>
        <w:t>破</w:t>
      </w:r>
      <w:r>
        <w:rPr>
          <w:w w:val="95"/>
        </w:rPr>
        <w:t>案</w:t>
      </w:r>
      <w:r>
        <w:rPr>
          <w:w w:val="95"/>
        </w:rPr>
        <w:t>率</w:t>
      </w:r>
      <w:r>
        <w:rPr>
          <w:w w:val="95"/>
        </w:rPr>
        <w:t>同</w:t>
      </w:r>
      <w:r>
        <w:rPr>
          <w:w w:val="95"/>
        </w:rPr>
        <w:t>比</w:t>
      </w:r>
      <w:r>
        <w:rPr>
          <w:w w:val="95"/>
        </w:rPr>
        <w:t>上</w:t>
      </w:r>
      <w:r>
        <w:rPr>
          <w:w w:val="95"/>
        </w:rPr>
        <w:t>升</w:t>
      </w:r>
      <w:r>
        <w:rPr>
          <w:spacing w:val="40"/>
        </w:rPr>
        <w:t> </w:t>
      </w:r>
      <w:r>
        <w:rPr>
          <w:rFonts w:ascii="Times New Roman" w:hAnsi="Times New Roman" w:eastAsia="Times New Roman"/>
          <w:w w:val="95"/>
        </w:rPr>
        <w:t>20.62%</w:t>
      </w:r>
      <w:r>
        <w:rPr>
          <w:w w:val="95"/>
        </w:rPr>
        <w:t>，</w:t>
      </w:r>
      <w:r>
        <w:rPr>
          <w:w w:val="95"/>
        </w:rPr>
        <w:t>八</w:t>
      </w:r>
      <w:r>
        <w:rPr>
          <w:w w:val="95"/>
        </w:rPr>
        <w:t>类</w:t>
      </w:r>
      <w:r>
        <w:rPr>
          <w:w w:val="95"/>
        </w:rPr>
        <w:t>案</w:t>
      </w:r>
      <w:r>
        <w:rPr>
          <w:w w:val="95"/>
        </w:rPr>
        <w:t>件</w:t>
      </w:r>
      <w:r>
        <w:rPr>
          <w:w w:val="95"/>
        </w:rPr>
        <w:t>破</w:t>
      </w:r>
      <w:r>
        <w:rPr>
          <w:w w:val="95"/>
        </w:rPr>
        <w:t>案</w:t>
      </w:r>
      <w:r>
        <w:rPr>
          <w:w w:val="95"/>
        </w:rPr>
        <w:t>率</w:t>
      </w:r>
      <w:r>
        <w:rPr>
          <w:w w:val="95"/>
        </w:rPr>
        <w:t>同</w:t>
      </w:r>
      <w:r>
        <w:rPr>
          <w:w w:val="95"/>
        </w:rPr>
        <w:t>比</w:t>
      </w:r>
      <w:r>
        <w:rPr>
          <w:w w:val="95"/>
        </w:rPr>
        <w:t>上</w:t>
      </w:r>
      <w:r>
        <w:rPr>
          <w:w w:val="95"/>
        </w:rPr>
        <w:t>升</w:t>
      </w:r>
      <w:r>
        <w:rPr>
          <w:spacing w:val="40"/>
        </w:rPr>
        <w:t> </w:t>
      </w:r>
      <w:r>
        <w:rPr>
          <w:rFonts w:ascii="Times New Roman" w:hAnsi="Times New Roman" w:eastAsia="Times New Roman"/>
          <w:w w:val="95"/>
        </w:rPr>
        <w:t>12.99%</w:t>
      </w:r>
      <w:r>
        <w:rPr>
          <w:w w:val="95"/>
        </w:rPr>
        <w:t>。</w:t>
      </w:r>
      <w:r>
        <w:rPr>
          <w:w w:val="95"/>
        </w:rPr>
        <w:t>贵</w:t>
      </w:r>
      <w:r>
        <w:rPr>
          <w:w w:val="95"/>
        </w:rPr>
        <w:t>阳</w:t>
      </w:r>
      <w:r>
        <w:rPr>
          <w:spacing w:val="-4"/>
        </w:rPr>
        <w:t>公安块数据指挥中心对全市人、事、物进行实时三维立体画像，实现</w:t>
      </w:r>
      <w:r>
        <w:rPr>
          <w:spacing w:val="-2"/>
        </w:rPr>
        <w:t>社会治安立体化管控，改变了传统人工干预的方式。</w:t>
      </w:r>
    </w:p>
    <w:p>
      <w:pPr>
        <w:pStyle w:val="Heading3"/>
        <w:numPr>
          <w:ilvl w:val="0"/>
          <w:numId w:val="26"/>
        </w:numPr>
        <w:tabs>
          <w:tab w:pos="2203" w:val="left" w:leader="none"/>
        </w:tabs>
        <w:spacing w:line="381" w:lineRule="exact" w:before="0" w:after="0"/>
        <w:ind w:left="2202" w:right="0" w:hanging="242"/>
        <w:jc w:val="left"/>
      </w:pPr>
      <w:r>
        <w:rPr>
          <w:w w:val="95"/>
        </w:rPr>
        <w:t>精</w:t>
      </w:r>
      <w:r>
        <w:rPr>
          <w:w w:val="95"/>
        </w:rPr>
        <w:t>准</w:t>
      </w:r>
      <w:r>
        <w:rPr>
          <w:w w:val="95"/>
        </w:rPr>
        <w:t>扶</w:t>
      </w:r>
      <w:r>
        <w:rPr>
          <w:w w:val="95"/>
        </w:rPr>
        <w:t>贫</w:t>
      </w:r>
      <w:r>
        <w:rPr>
          <w:w w:val="95"/>
        </w:rPr>
        <w:t>大</w:t>
      </w:r>
      <w:r>
        <w:rPr>
          <w:w w:val="95"/>
        </w:rPr>
        <w:t>数</w:t>
      </w:r>
      <w:r>
        <w:rPr>
          <w:w w:val="95"/>
        </w:rPr>
        <w:t>据</w:t>
      </w:r>
      <w:r>
        <w:rPr>
          <w:w w:val="95"/>
        </w:rPr>
        <w:t>平</w:t>
      </w:r>
      <w:r>
        <w:rPr>
          <w:spacing w:val="-10"/>
          <w:w w:val="95"/>
        </w:rPr>
        <w:t>台</w:t>
      </w:r>
    </w:p>
    <w:p>
      <w:pPr>
        <w:pStyle w:val="BodyText"/>
        <w:spacing w:line="417" w:lineRule="auto" w:before="242"/>
        <w:ind w:left="1320" w:right="1035" w:firstLine="559"/>
      </w:pPr>
      <w:r>
        <w:rPr>
          <w:spacing w:val="-7"/>
        </w:rPr>
        <w:t>精准扶贫大数据平台利用数据质量管理职能，通过各部门数据共</w:t>
      </w:r>
      <w:r>
        <w:rPr>
          <w:spacing w:val="-2"/>
        </w:rPr>
        <w:t> </w:t>
      </w:r>
      <w:r>
        <w:rPr>
          <w:spacing w:val="-21"/>
        </w:rPr>
        <w:t>享，统一数据标准，统一数据格式，实现了全省扶贫数据的</w:t>
      </w:r>
      <w:r>
        <w:rPr>
          <w:rFonts w:ascii="Times New Roman" w:hAnsi="Times New Roman" w:eastAsia="Times New Roman"/>
          <w:spacing w:val="-2"/>
        </w:rPr>
        <w:t>“</w:t>
      </w:r>
      <w:r>
        <w:rPr>
          <w:spacing w:val="-2"/>
        </w:rPr>
        <w:t>通</w:t>
      </w:r>
      <w:r>
        <w:rPr>
          <w:rFonts w:ascii="Times New Roman" w:hAnsi="Times New Roman" w:eastAsia="Times New Roman"/>
          <w:spacing w:val="-2"/>
        </w:rPr>
        <w:t>”</w:t>
      </w:r>
      <w:r>
        <w:rPr>
          <w:spacing w:val="-2"/>
        </w:rPr>
        <w:t>和</w:t>
      </w:r>
      <w:r>
        <w:rPr>
          <w:rFonts w:ascii="Times New Roman" w:hAnsi="Times New Roman" w:eastAsia="Times New Roman"/>
          <w:spacing w:val="-2"/>
        </w:rPr>
        <w:t>“</w:t>
      </w:r>
      <w:r>
        <w:rPr>
          <w:spacing w:val="-2"/>
        </w:rPr>
        <w:t>准</w:t>
      </w:r>
      <w:r>
        <w:rPr>
          <w:rFonts w:ascii="Times New Roman" w:hAnsi="Times New Roman" w:eastAsia="Times New Roman"/>
          <w:spacing w:val="-2"/>
        </w:rPr>
        <w:t>”</w:t>
      </w:r>
      <w:r>
        <w:rPr>
          <w:spacing w:val="-2"/>
        </w:rPr>
        <w:t>。</w:t>
      </w:r>
      <w:r>
        <w:rPr>
          <w:spacing w:val="-22"/>
        </w:rPr>
        <w:t>数据共享方面已实现省扶贫办、省公安厅、省卫计委、省水库移民局、</w:t>
      </w:r>
      <w:r>
        <w:rPr>
          <w:spacing w:val="-2"/>
        </w:rPr>
        <w:t> 省民政厅、省教育厅、省人社厅、省住建厅、省工商局、省水利厅、</w:t>
      </w:r>
      <w:r>
        <w:rPr>
          <w:spacing w:val="-10"/>
        </w:rPr>
        <w:t>省国土厅等 </w:t>
      </w:r>
      <w:r>
        <w:rPr>
          <w:rFonts w:ascii="Times New Roman" w:hAnsi="Times New Roman" w:eastAsia="Times New Roman"/>
        </w:rPr>
        <w:t>11 </w:t>
      </w:r>
      <w:r>
        <w:rPr>
          <w:spacing w:val="-12"/>
        </w:rPr>
        <w:t>家省级单位的数据融通。功能方面已完成</w:t>
      </w:r>
      <w:r>
        <w:rPr>
          <w:rFonts w:ascii="Times New Roman" w:hAnsi="Times New Roman" w:eastAsia="Times New Roman"/>
        </w:rPr>
        <w:t>“</w:t>
      </w:r>
      <w:r>
        <w:rPr/>
        <w:t>扫一扫</w:t>
      </w:r>
      <w:r>
        <w:rPr>
          <w:rFonts w:ascii="Times New Roman" w:hAnsi="Times New Roman" w:eastAsia="Times New Roman"/>
        </w:rPr>
        <w:t>”</w:t>
      </w:r>
      <w:r>
        <w:rPr>
          <w:spacing w:val="-137"/>
        </w:rPr>
        <w:t>、</w:t>
      </w:r>
      <w:r>
        <w:rPr>
          <w:rFonts w:ascii="Times New Roman" w:hAnsi="Times New Roman" w:eastAsia="Times New Roman"/>
        </w:rPr>
        <w:t>“</w:t>
      </w:r>
      <w:r>
        <w:rPr/>
        <w:t>对 </w:t>
      </w:r>
      <w:r>
        <w:rPr>
          <w:spacing w:val="-2"/>
        </w:rPr>
        <w:t>象查询</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数据统计</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动态异常预警</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对象关注</w:t>
      </w:r>
      <w:r>
        <w:rPr>
          <w:rFonts w:ascii="Times New Roman" w:hAnsi="Times New Roman" w:eastAsia="Times New Roman"/>
          <w:spacing w:val="-2"/>
        </w:rPr>
        <w:t>”</w:t>
      </w:r>
      <w:r>
        <w:rPr>
          <w:spacing w:val="-2"/>
        </w:rPr>
        <w:t>等应用。</w:t>
      </w:r>
    </w:p>
    <w:p>
      <w:pPr>
        <w:pStyle w:val="BodyText"/>
        <w:spacing w:line="358" w:lineRule="exact"/>
        <w:ind w:left="1879"/>
        <w:rPr>
          <w:rFonts w:ascii="黑体" w:eastAsia="黑体"/>
        </w:rPr>
      </w:pPr>
      <w:r>
        <w:rPr>
          <w:rFonts w:ascii="黑体" w:eastAsia="黑体"/>
          <w:spacing w:val="-4"/>
        </w:rPr>
        <w:t>【洞察启示】</w:t>
      </w:r>
    </w:p>
    <w:p>
      <w:pPr>
        <w:pStyle w:val="BodyText"/>
        <w:spacing w:before="8"/>
        <w:rPr>
          <w:rFonts w:ascii="黑体"/>
          <w:sz w:val="20"/>
        </w:rPr>
      </w:pPr>
    </w:p>
    <w:p>
      <w:pPr>
        <w:pStyle w:val="BodyText"/>
        <w:spacing w:line="417" w:lineRule="auto" w:before="1"/>
        <w:ind w:left="1320" w:right="1315" w:firstLine="559"/>
        <w:jc w:val="both"/>
      </w:pPr>
      <w:r>
        <w:rPr>
          <w:spacing w:val="-7"/>
        </w:rPr>
        <w:t>云上贵州系统平台利用数据资产管理的各个职能，实现全省政府</w:t>
      </w:r>
      <w:r>
        <w:rPr>
          <w:spacing w:val="-4"/>
        </w:rPr>
        <w:t>数据统筹存取和共享、统筹标准和统筹安全的云计算系统平台。数据</w:t>
      </w:r>
      <w:r>
        <w:rPr>
          <w:spacing w:val="-4"/>
        </w:rPr>
        <w:t>一旦被很好地管理，能够为</w:t>
      </w:r>
      <w:r>
        <w:rPr>
          <w:rFonts w:ascii="Times New Roman" w:hAnsi="Times New Roman" w:eastAsia="Times New Roman"/>
          <w:spacing w:val="-4"/>
        </w:rPr>
        <w:t>“</w:t>
      </w:r>
      <w:r>
        <w:rPr>
          <w:spacing w:val="-4"/>
        </w:rPr>
        <w:t>我</w:t>
      </w:r>
      <w:r>
        <w:rPr>
          <w:rFonts w:ascii="Times New Roman" w:hAnsi="Times New Roman" w:eastAsia="Times New Roman"/>
          <w:spacing w:val="-4"/>
        </w:rPr>
        <w:t>”</w:t>
      </w:r>
      <w:r>
        <w:rPr>
          <w:spacing w:val="-4"/>
        </w:rPr>
        <w:t>所用，能让决策力度更强、洞悉发现</w:t>
      </w:r>
      <w:r>
        <w:rPr>
          <w:spacing w:val="-6"/>
        </w:rPr>
        <w:t>事物的力度更敏锐以及让信息资产处理更加符合流程化、规范化并其</w:t>
      </w:r>
      <w:r>
        <w:rPr>
          <w:spacing w:val="-2"/>
        </w:rPr>
        <w:t>将会带来具大的经济效益和社会价值。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before="92"/>
        <w:ind w:left="1329" w:right="1325" w:firstLine="0"/>
        <w:jc w:val="center"/>
        <w:rPr>
          <w:rFonts w:ascii="Times New Roman"/>
          <w:sz w:val="18"/>
        </w:rPr>
      </w:pPr>
      <w:r>
        <w:rPr>
          <w:rFonts w:ascii="Times New Roman"/>
          <w:spacing w:val="-5"/>
          <w:sz w:val="18"/>
        </w:rPr>
        <w:t>77</w:t>
      </w:r>
    </w:p>
    <w:p>
      <w:pPr>
        <w:spacing w:after="0"/>
        <w:jc w:val="center"/>
        <w:rPr>
          <w:rFonts w:ascii="Times New Roman"/>
          <w:sz w:val="18"/>
        </w:rPr>
        <w:sectPr>
          <w:headerReference w:type="default" r:id="rId95"/>
          <w:pgSz w:w="11910" w:h="16840"/>
          <w:pgMar w:header="877" w:footer="0" w:top="1100" w:bottom="280" w:left="480" w:right="480"/>
        </w:sectPr>
      </w:pPr>
    </w:p>
    <w:p>
      <w:pPr>
        <w:pStyle w:val="BodyText"/>
        <w:rPr>
          <w:rFonts w:ascii="Times New Roman"/>
          <w:sz w:val="20"/>
        </w:rPr>
      </w:pPr>
    </w:p>
    <w:p>
      <w:pPr>
        <w:pStyle w:val="Heading2"/>
      </w:pPr>
      <w:bookmarkStart w:name="_bookmark74" w:id="75"/>
      <w:bookmarkEnd w:id="75"/>
      <w:r>
        <w:rPr>
          <w:b w:val="0"/>
        </w:rPr>
      </w:r>
      <w:r>
        <w:rPr>
          <w:w w:val="95"/>
        </w:rPr>
        <w:t>（</w:t>
      </w:r>
      <w:r>
        <w:rPr>
          <w:w w:val="95"/>
        </w:rPr>
        <w:t>六</w:t>
      </w:r>
      <w:r>
        <w:rPr>
          <w:w w:val="95"/>
        </w:rPr>
        <w:t>）</w:t>
      </w:r>
      <w:r>
        <w:rPr>
          <w:w w:val="95"/>
        </w:rPr>
        <w:t>某</w:t>
      </w:r>
      <w:r>
        <w:rPr>
          <w:w w:val="95"/>
        </w:rPr>
        <w:t>省</w:t>
      </w:r>
      <w:r>
        <w:rPr>
          <w:w w:val="95"/>
        </w:rPr>
        <w:t>政</w:t>
      </w:r>
      <w:r>
        <w:rPr>
          <w:w w:val="95"/>
        </w:rPr>
        <w:t>务</w:t>
      </w:r>
      <w:r>
        <w:rPr>
          <w:w w:val="95"/>
        </w:rPr>
        <w:t>大</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3"/>
        </w:rPr>
        <w:t>【企业基本情况和数据情况】</w:t>
      </w:r>
    </w:p>
    <w:p>
      <w:pPr>
        <w:pStyle w:val="BodyText"/>
        <w:spacing w:before="9"/>
        <w:rPr>
          <w:rFonts w:ascii="黑体"/>
          <w:sz w:val="20"/>
        </w:rPr>
      </w:pPr>
    </w:p>
    <w:p>
      <w:pPr>
        <w:pStyle w:val="BodyText"/>
        <w:spacing w:line="417" w:lineRule="auto"/>
        <w:ind w:left="1320" w:right="1313" w:firstLine="559"/>
        <w:jc w:val="both"/>
      </w:pPr>
      <w:r>
        <w:rPr>
          <w:spacing w:val="-6"/>
        </w:rPr>
        <w:t>某省政务大数据资产管理平台通过推进政务数据全面整合、治理</w:t>
      </w:r>
      <w:r>
        <w:rPr>
          <w:spacing w:val="-4"/>
        </w:rPr>
        <w:t>和共享，打通信息孤岛，建立基础设施资源池、公共数据资源池、公</w:t>
      </w:r>
      <w:r>
        <w:rPr>
          <w:spacing w:val="-4"/>
        </w:rPr>
        <w:t>共服务资源池，打破独立单一系统应用壁垒，重塑数据归集渠道和模</w:t>
      </w:r>
      <w:r>
        <w:rPr>
          <w:spacing w:val="-4"/>
        </w:rPr>
        <w:t>式，凝聚纷繁散落的碎片数据，采用国际领先的大数据清洗存储管理</w:t>
      </w:r>
      <w:r>
        <w:rPr>
          <w:spacing w:val="-24"/>
        </w:rPr>
        <w:t>核心技术，利用集约化建设策略，结合互联网、云计算和可视化技术，</w:t>
      </w:r>
      <w:r>
        <w:rPr>
          <w:spacing w:val="-2"/>
        </w:rPr>
        <w:t>打造一个开放的政务大数据公共服务平台。</w:t>
      </w:r>
    </w:p>
    <w:p>
      <w:pPr>
        <w:pStyle w:val="BodyText"/>
        <w:spacing w:line="358" w:lineRule="exact"/>
        <w:ind w:left="1879"/>
        <w:rPr>
          <w:rFonts w:ascii="黑体" w:eastAsia="黑体"/>
        </w:rPr>
      </w:pPr>
      <w:r>
        <w:rPr>
          <w:rFonts w:ascii="黑体" w:eastAsia="黑体"/>
          <w:spacing w:val="-4"/>
        </w:rPr>
        <w:t>【痛点和难点】</w:t>
      </w:r>
    </w:p>
    <w:p>
      <w:pPr>
        <w:pStyle w:val="BodyText"/>
        <w:spacing w:before="9"/>
        <w:rPr>
          <w:rFonts w:ascii="黑体"/>
          <w:sz w:val="20"/>
        </w:rPr>
      </w:pPr>
    </w:p>
    <w:p>
      <w:pPr>
        <w:pStyle w:val="BodyText"/>
        <w:spacing w:line="417" w:lineRule="auto"/>
        <w:ind w:left="1320" w:right="1175" w:firstLine="559"/>
      </w:pPr>
      <w:r>
        <w:rPr>
          <w:spacing w:val="3"/>
          <w:w w:val="100"/>
        </w:rPr>
        <w:t>政务大数据公共服务平台的建设需要从全省相互独立的多个业</w:t>
      </w:r>
      <w:r>
        <w:rPr>
          <w:spacing w:val="-1"/>
          <w:w w:val="100"/>
        </w:rPr>
        <w:t>务系统中抽取数据，这些业务系统并没有经过顶层设计和统筹规划，</w:t>
      </w:r>
      <w:r>
        <w:rPr>
          <w:spacing w:val="-8"/>
          <w:w w:val="100"/>
        </w:rPr>
        <w:t>他们之间的数据必然存在不标准、不完整、重复、错误、不一致的问题。</w:t>
      </w:r>
    </w:p>
    <w:p>
      <w:pPr>
        <w:pStyle w:val="BodyText"/>
        <w:spacing w:line="417" w:lineRule="auto"/>
        <w:ind w:left="1320" w:right="1317" w:firstLine="559"/>
        <w:jc w:val="both"/>
      </w:pPr>
      <w:r>
        <w:rPr>
          <w:spacing w:val="-7"/>
        </w:rPr>
        <w:t>当前数据开放的力度还仅限于政府内部机构，尚未形成对社会团</w:t>
      </w:r>
      <w:r>
        <w:rPr>
          <w:spacing w:val="-4"/>
        </w:rPr>
        <w:t>体、企业、社会公众的政务数据开放机制。形成政府信息公开领域还</w:t>
      </w:r>
      <w:r>
        <w:rPr>
          <w:spacing w:val="-4"/>
        </w:rPr>
        <w:t>存在着两个</w:t>
      </w:r>
      <w:r>
        <w:rPr>
          <w:rFonts w:ascii="Times New Roman" w:hAnsi="Times New Roman" w:eastAsia="Times New Roman"/>
          <w:spacing w:val="-4"/>
        </w:rPr>
        <w:t>“</w:t>
      </w:r>
      <w:r>
        <w:rPr>
          <w:spacing w:val="-4"/>
        </w:rPr>
        <w:t>不对称</w:t>
      </w:r>
      <w:r>
        <w:rPr>
          <w:rFonts w:ascii="Times New Roman" w:hAnsi="Times New Roman" w:eastAsia="Times New Roman"/>
          <w:spacing w:val="-4"/>
        </w:rPr>
        <w:t>”</w:t>
      </w:r>
      <w:r>
        <w:rPr>
          <w:spacing w:val="-4"/>
        </w:rPr>
        <w:t>，一是公众对于信息公开的需求和政府公开信息</w:t>
      </w:r>
      <w:r>
        <w:rPr>
          <w:spacing w:val="-10"/>
        </w:rPr>
        <w:t>的供给存在明显的不对称，二是政府要求百姓提供的信息和政府自身</w:t>
      </w:r>
      <w:r>
        <w:rPr>
          <w:spacing w:val="-4"/>
        </w:rPr>
        <w:t>能向百姓公开的信息不对称。存在数据相对封闭、开放力度不足、开</w:t>
      </w:r>
      <w:r>
        <w:rPr>
          <w:spacing w:val="-2"/>
        </w:rPr>
        <w:t>放机制尚无形成的问题。</w:t>
      </w:r>
    </w:p>
    <w:p>
      <w:pPr>
        <w:pStyle w:val="BodyText"/>
        <w:spacing w:line="417" w:lineRule="auto"/>
        <w:ind w:left="1320" w:right="1316" w:firstLine="559"/>
        <w:jc w:val="both"/>
      </w:pPr>
      <w:r>
        <w:rPr>
          <w:spacing w:val="-6"/>
        </w:rPr>
        <w:t>大数据的发展是支撑电子政务向智慧政务转变的重要基础，但受</w:t>
      </w:r>
      <w:r>
        <w:rPr>
          <w:spacing w:val="-6"/>
        </w:rPr>
        <w:t>省内各委办厅局自身数据基础和信息化建设水平现状的影响，由各委</w:t>
      </w:r>
      <w:r>
        <w:rPr>
          <w:spacing w:val="-8"/>
        </w:rPr>
        <w:t>办厅局独立的开展本业务内智慧政务的发展建设，一方面存在数据和</w:t>
      </w:r>
    </w:p>
    <w:p>
      <w:pPr>
        <w:spacing w:before="52"/>
        <w:ind w:left="1329" w:right="1325" w:firstLine="0"/>
        <w:jc w:val="center"/>
        <w:rPr>
          <w:rFonts w:ascii="Times New Roman"/>
          <w:sz w:val="18"/>
        </w:rPr>
      </w:pPr>
      <w:r>
        <w:rPr>
          <w:rFonts w:ascii="Times New Roman"/>
          <w:spacing w:val="-5"/>
          <w:sz w:val="18"/>
        </w:rPr>
        <w:t>78</w:t>
      </w:r>
    </w:p>
    <w:p>
      <w:pPr>
        <w:spacing w:after="0"/>
        <w:jc w:val="center"/>
        <w:rPr>
          <w:rFonts w:ascii="Times New Roman"/>
          <w:sz w:val="18"/>
        </w:rPr>
        <w:sectPr>
          <w:headerReference w:type="default" r:id="rId96"/>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037"/>
      </w:pPr>
      <w:r>
        <w:rPr>
          <w:spacing w:val="-7"/>
        </w:rPr>
        <w:t>底层技术不足无法完全支撑上层应用的问题，一方面也不可避免的形</w:t>
      </w:r>
      <w:r>
        <w:rPr>
          <w:spacing w:val="-2"/>
        </w:rPr>
        <w:t> </w:t>
      </w:r>
      <w:r>
        <w:rPr>
          <w:spacing w:val="-11"/>
        </w:rPr>
        <w:t>成一定的建设重复情况。独立烟囱式的建设也影响了构建整体性政府、</w:t>
      </w:r>
      <w:r>
        <w:rPr>
          <w:spacing w:val="-9"/>
        </w:rPr>
        <w:t>透明化政府和服务型政务的进程。急需通过政务大数据底层支撑平台</w:t>
      </w:r>
      <w:r>
        <w:rPr>
          <w:spacing w:val="-2"/>
        </w:rPr>
        <w:t> </w:t>
      </w:r>
      <w:r>
        <w:rPr>
          <w:spacing w:val="-2"/>
        </w:rPr>
        <w:t>的建设，为各业务部门行业智慧政务应用的发展夯实基础，提供技术 </w:t>
      </w:r>
      <w:r>
        <w:rPr>
          <w:spacing w:val="-2"/>
        </w:rPr>
        <w:t>和数据支撑。</w:t>
      </w:r>
    </w:p>
    <w:p>
      <w:pPr>
        <w:pStyle w:val="BodyText"/>
        <w:spacing w:line="358" w:lineRule="exact"/>
        <w:ind w:left="1879"/>
        <w:rPr>
          <w:rFonts w:ascii="黑体" w:eastAsia="黑体"/>
        </w:rPr>
      </w:pPr>
      <w:r>
        <w:rPr>
          <w:rFonts w:ascii="黑体" w:eastAsia="黑体"/>
          <w:spacing w:val="-4"/>
        </w:rPr>
        <w:t>【实践路径】</w:t>
      </w:r>
    </w:p>
    <w:p>
      <w:pPr>
        <w:pStyle w:val="BodyText"/>
        <w:spacing w:before="9"/>
        <w:rPr>
          <w:rFonts w:ascii="黑体"/>
          <w:sz w:val="20"/>
        </w:rPr>
      </w:pPr>
    </w:p>
    <w:p>
      <w:pPr>
        <w:pStyle w:val="BodyText"/>
        <w:spacing w:line="417" w:lineRule="auto"/>
        <w:ind w:left="1320" w:right="1315" w:firstLine="559"/>
        <w:jc w:val="both"/>
      </w:pPr>
      <w:r>
        <w:rPr>
          <w:spacing w:val="-7"/>
        </w:rPr>
        <w:t>智慧型政府迫切需要从三个方面得到提升：一是充分应用基础设</w:t>
      </w:r>
      <w:r>
        <w:rPr>
          <w:spacing w:val="-11"/>
        </w:rPr>
        <w:t>施服务云，二是扎实构建政务大数据资源中心，三是全面打造智慧型</w:t>
      </w:r>
      <w:r>
        <w:rPr>
          <w:spacing w:val="-4"/>
        </w:rPr>
        <w:t>政府创新服务，这是一个由基础云、到数据云、到服务云的全面升级</w:t>
      </w:r>
      <w:r>
        <w:rPr>
          <w:spacing w:val="-2"/>
        </w:rPr>
        <w:t>的过程，这三朵云聚合在一起，就是政务大数据资产管理体系。</w:t>
      </w:r>
    </w:p>
    <w:p>
      <w:pPr>
        <w:pStyle w:val="BodyText"/>
        <w:spacing w:line="358" w:lineRule="exact"/>
        <w:ind w:left="1879"/>
      </w:pPr>
      <w:r>
        <w:rPr>
          <w:spacing w:val="-3"/>
        </w:rPr>
        <w:t>可以从汇聚、治理和应用三个方面统筹考虑、统筹实现。</w:t>
      </w:r>
    </w:p>
    <w:p>
      <w:pPr>
        <w:pStyle w:val="BodyText"/>
        <w:spacing w:before="9"/>
        <w:rPr>
          <w:sz w:val="20"/>
        </w:rPr>
      </w:pPr>
    </w:p>
    <w:p>
      <w:pPr>
        <w:pStyle w:val="BodyText"/>
        <w:spacing w:line="417" w:lineRule="auto"/>
        <w:ind w:left="1320" w:right="1318" w:firstLine="559"/>
        <w:jc w:val="both"/>
      </w:pPr>
      <w:r>
        <w:rPr>
          <w:spacing w:val="-10"/>
        </w:rPr>
        <w:t>首先是政务数据资产的汇聚。为了充分实现政务数据的共享与数</w:t>
      </w:r>
      <w:r>
        <w:rPr>
          <w:spacing w:val="-4"/>
        </w:rPr>
        <w:t>据资产的管理，通过构建三大资源池，即基础设施资源池、公共数据</w:t>
      </w:r>
      <w:r>
        <w:rPr>
          <w:spacing w:val="-13"/>
        </w:rPr>
        <w:t>资源池、公共服务资源池为政府搭建统一的大数据共享平台提供全面</w:t>
      </w:r>
      <w:r>
        <w:rPr>
          <w:spacing w:val="-2"/>
        </w:rPr>
        <w:t>支持，实现数据的汇聚。</w:t>
      </w:r>
    </w:p>
    <w:p>
      <w:pPr>
        <w:pStyle w:val="ListParagraph"/>
        <w:numPr>
          <w:ilvl w:val="0"/>
          <w:numId w:val="27"/>
        </w:numPr>
        <w:tabs>
          <w:tab w:pos="3000" w:val="left" w:leader="none"/>
          <w:tab w:pos="3001" w:val="left" w:leader="none"/>
        </w:tabs>
        <w:spacing w:line="417" w:lineRule="auto" w:before="0" w:after="0"/>
        <w:ind w:left="2302" w:right="1315" w:firstLine="199"/>
        <w:jc w:val="left"/>
        <w:rPr>
          <w:sz w:val="28"/>
        </w:rPr>
      </w:pPr>
      <w:r>
        <w:rPr>
          <w:spacing w:val="-9"/>
          <w:sz w:val="28"/>
        </w:rPr>
        <w:t>基础设施资源池：充分应用基础设施服务云，搭建大数</w:t>
      </w:r>
      <w:r>
        <w:rPr>
          <w:spacing w:val="-2"/>
          <w:sz w:val="28"/>
        </w:rPr>
        <w:t>据平台分布式运行环境。</w:t>
      </w:r>
    </w:p>
    <w:p>
      <w:pPr>
        <w:pStyle w:val="ListParagraph"/>
        <w:numPr>
          <w:ilvl w:val="0"/>
          <w:numId w:val="27"/>
        </w:numPr>
        <w:tabs>
          <w:tab w:pos="3000" w:val="left" w:leader="none"/>
          <w:tab w:pos="3001" w:val="left" w:leader="none"/>
        </w:tabs>
        <w:spacing w:line="417" w:lineRule="auto" w:before="0" w:after="0"/>
        <w:ind w:left="2302" w:right="1318" w:firstLine="199"/>
        <w:jc w:val="left"/>
        <w:rPr>
          <w:sz w:val="28"/>
        </w:rPr>
      </w:pPr>
      <w:r>
        <w:rPr>
          <w:spacing w:val="-6"/>
          <w:sz w:val="28"/>
        </w:rPr>
        <w:t>公共数据资源池：整合各部门、各系统、各种类型的数</w:t>
      </w:r>
      <w:r>
        <w:rPr>
          <w:spacing w:val="-2"/>
          <w:sz w:val="28"/>
        </w:rPr>
        <w:t>据资产，让数据变成有用的信息。</w:t>
      </w:r>
    </w:p>
    <w:p>
      <w:pPr>
        <w:pStyle w:val="ListParagraph"/>
        <w:numPr>
          <w:ilvl w:val="0"/>
          <w:numId w:val="27"/>
        </w:numPr>
        <w:tabs>
          <w:tab w:pos="3000" w:val="left" w:leader="none"/>
          <w:tab w:pos="3001" w:val="left" w:leader="none"/>
        </w:tabs>
        <w:spacing w:line="417" w:lineRule="auto" w:before="0" w:after="0"/>
        <w:ind w:left="2302" w:right="1315" w:firstLine="199"/>
        <w:jc w:val="left"/>
        <w:rPr>
          <w:sz w:val="28"/>
        </w:rPr>
      </w:pPr>
      <w:r>
        <w:rPr>
          <w:spacing w:val="-12"/>
          <w:sz w:val="28"/>
        </w:rPr>
        <w:t>公共服务资源池：基于整合的信息，全面提供各部门各</w:t>
      </w:r>
      <w:r>
        <w:rPr>
          <w:spacing w:val="-2"/>
          <w:sz w:val="28"/>
        </w:rPr>
        <w:t>类应用服务。</w:t>
      </w:r>
    </w:p>
    <w:p>
      <w:pPr>
        <w:pStyle w:val="BodyText"/>
        <w:rPr>
          <w:sz w:val="20"/>
        </w:rPr>
      </w:pPr>
    </w:p>
    <w:p>
      <w:pPr>
        <w:pStyle w:val="BodyText"/>
        <w:rPr>
          <w:sz w:val="20"/>
        </w:rPr>
      </w:pPr>
    </w:p>
    <w:p>
      <w:pPr>
        <w:pStyle w:val="BodyText"/>
        <w:spacing w:before="5"/>
        <w:rPr>
          <w:sz w:val="27"/>
        </w:rPr>
      </w:pPr>
    </w:p>
    <w:p>
      <w:pPr>
        <w:spacing w:before="92"/>
        <w:ind w:left="1329" w:right="1325" w:firstLine="0"/>
        <w:jc w:val="center"/>
        <w:rPr>
          <w:rFonts w:ascii="Times New Roman"/>
          <w:sz w:val="18"/>
        </w:rPr>
      </w:pPr>
      <w:r>
        <w:rPr>
          <w:rFonts w:ascii="Times New Roman"/>
          <w:spacing w:val="-5"/>
          <w:sz w:val="18"/>
        </w:rPr>
        <w:t>79</w:t>
      </w:r>
    </w:p>
    <w:p>
      <w:pPr>
        <w:spacing w:after="0"/>
        <w:jc w:val="center"/>
        <w:rPr>
          <w:rFonts w:ascii="Times New Roman"/>
          <w:sz w:val="18"/>
        </w:rPr>
        <w:sectPr>
          <w:headerReference w:type="default" r:id="rId97"/>
          <w:pgSz w:w="11910" w:h="16840"/>
          <w:pgMar w:header="877" w:footer="0" w:top="1100" w:bottom="280" w:left="480" w:right="480"/>
        </w:sectPr>
      </w:pPr>
    </w:p>
    <w:p>
      <w:pPr>
        <w:pStyle w:val="BodyText"/>
        <w:rPr>
          <w:rFonts w:ascii="Times New Roman"/>
          <w:sz w:val="20"/>
        </w:rPr>
      </w:pPr>
    </w:p>
    <w:p>
      <w:pPr>
        <w:pStyle w:val="BodyText"/>
        <w:spacing w:before="10"/>
        <w:rPr>
          <w:rFonts w:ascii="Times New Roman"/>
          <w:sz w:val="12"/>
        </w:rPr>
      </w:pPr>
    </w:p>
    <w:p>
      <w:pPr>
        <w:pStyle w:val="BodyText"/>
        <w:ind w:left="1526"/>
        <w:rPr>
          <w:rFonts w:ascii="Times New Roman"/>
          <w:sz w:val="20"/>
        </w:rPr>
      </w:pPr>
      <w:r>
        <w:rPr>
          <w:rFonts w:ascii="Times New Roman"/>
          <w:sz w:val="20"/>
        </w:rPr>
        <w:drawing>
          <wp:inline distT="0" distB="0" distL="0" distR="0">
            <wp:extent cx="5245139" cy="1894331"/>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99" cstate="print"/>
                    <a:stretch>
                      <a:fillRect/>
                    </a:stretch>
                  </pic:blipFill>
                  <pic:spPr>
                    <a:xfrm>
                      <a:off x="0" y="0"/>
                      <a:ext cx="5245139" cy="1894331"/>
                    </a:xfrm>
                    <a:prstGeom prst="rect">
                      <a:avLst/>
                    </a:prstGeom>
                  </pic:spPr>
                </pic:pic>
              </a:graphicData>
            </a:graphic>
          </wp:inline>
        </w:drawing>
      </w:r>
      <w:r>
        <w:rPr>
          <w:rFonts w:ascii="Times New Roman"/>
          <w:sz w:val="20"/>
        </w:rPr>
      </w:r>
    </w:p>
    <w:p>
      <w:pPr>
        <w:pStyle w:val="BodyText"/>
        <w:spacing w:before="6"/>
        <w:rPr>
          <w:rFonts w:ascii="Times New Roman"/>
          <w:sz w:val="7"/>
        </w:rPr>
      </w:pPr>
    </w:p>
    <w:p>
      <w:pPr>
        <w:spacing w:before="74"/>
        <w:ind w:left="1329" w:right="1153" w:firstLine="0"/>
        <w:jc w:val="center"/>
        <w:rPr>
          <w:sz w:val="24"/>
        </w:rPr>
      </w:pPr>
      <w:bookmarkStart w:name="_bookmark75" w:id="76"/>
      <w:bookmarkEnd w:id="76"/>
      <w:r>
        <w:rPr/>
      </w:r>
      <w:r>
        <w:rPr>
          <w:spacing w:val="9"/>
          <w:sz w:val="24"/>
        </w:rPr>
        <w:t>图 </w:t>
      </w:r>
      <w:r>
        <w:rPr>
          <w:rFonts w:ascii="Times New Roman" w:eastAsia="Times New Roman"/>
          <w:sz w:val="24"/>
        </w:rPr>
        <w:t>10</w:t>
      </w:r>
      <w:r>
        <w:rPr>
          <w:rFonts w:ascii="Times New Roman" w:eastAsia="Times New Roman"/>
          <w:spacing w:val="69"/>
          <w:sz w:val="24"/>
        </w:rPr>
        <w:t> </w:t>
      </w:r>
      <w:r>
        <w:rPr>
          <w:spacing w:val="16"/>
          <w:sz w:val="24"/>
        </w:rPr>
        <w:t>某省政务大数据资产汇聚架构图</w:t>
      </w:r>
    </w:p>
    <w:p>
      <w:pPr>
        <w:pStyle w:val="BodyText"/>
        <w:spacing w:before="2"/>
        <w:rPr>
          <w:sz w:val="32"/>
        </w:rPr>
      </w:pPr>
    </w:p>
    <w:p>
      <w:pPr>
        <w:pStyle w:val="BodyText"/>
        <w:spacing w:line="417" w:lineRule="auto"/>
        <w:ind w:left="1320" w:right="1175" w:firstLine="559"/>
      </w:pPr>
      <w:r>
        <w:rPr/>
        <w:drawing>
          <wp:anchor distT="0" distB="0" distL="0" distR="0" allowOverlap="1" layoutInCell="1" locked="0" behindDoc="1" simplePos="0" relativeHeight="485510656">
            <wp:simplePos x="0" y="0"/>
            <wp:positionH relativeFrom="page">
              <wp:posOffset>1270000</wp:posOffset>
            </wp:positionH>
            <wp:positionV relativeFrom="paragraph">
              <wp:posOffset>2728594</wp:posOffset>
            </wp:positionV>
            <wp:extent cx="5273421" cy="2694940"/>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00" cstate="print"/>
                    <a:stretch>
                      <a:fillRect/>
                    </a:stretch>
                  </pic:blipFill>
                  <pic:spPr>
                    <a:xfrm>
                      <a:off x="0" y="0"/>
                      <a:ext cx="5273421" cy="2694940"/>
                    </a:xfrm>
                    <a:prstGeom prst="rect">
                      <a:avLst/>
                    </a:prstGeom>
                  </pic:spPr>
                </pic:pic>
              </a:graphicData>
            </a:graphic>
          </wp:anchor>
        </w:drawing>
      </w:r>
      <w:r>
        <w:rPr>
          <w:spacing w:val="-9"/>
        </w:rPr>
        <w:t>在数据资产汇聚的具体实现上，基于政务数据构建成熟稳定的主</w:t>
      </w:r>
      <w:r>
        <w:rPr>
          <w:spacing w:val="-2"/>
        </w:rPr>
        <w:t>题数据模型，涵盖全方位的政务数据，以人口、法人、空间地理、政府机构作为基础主题，涵盖证照、政策法规、宏观经济、监管执法、</w:t>
      </w:r>
      <w:r>
        <w:rPr>
          <w:spacing w:val="-2"/>
        </w:rPr>
        <w:t>司法、事件、社会保障、规划、财政、社情民意等社会生活中方方面</w:t>
      </w:r>
      <w:r>
        <w:rPr>
          <w:spacing w:val="-2"/>
        </w:rPr>
        <w:t>面的扩展主题。政务数据模型一方面对海量数据进行分类，便于数据</w:t>
      </w:r>
      <w:r>
        <w:rPr>
          <w:spacing w:val="-12"/>
        </w:rPr>
        <w:t>存储与管理，另一方面通过技术手段和分析方法构建数据之间的关联</w:t>
      </w:r>
      <w:r>
        <w:rPr>
          <w:spacing w:val="-2"/>
        </w:rPr>
        <w:t>性，为数据应用提供更好的服务。</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1329" w:right="1155" w:firstLine="0"/>
        <w:jc w:val="center"/>
        <w:rPr>
          <w:sz w:val="24"/>
        </w:rPr>
      </w:pPr>
      <w:bookmarkStart w:name="_bookmark76" w:id="77"/>
      <w:bookmarkEnd w:id="77"/>
      <w:r>
        <w:rPr/>
      </w:r>
      <w:r>
        <w:rPr>
          <w:spacing w:val="9"/>
          <w:sz w:val="24"/>
        </w:rPr>
        <w:t>图 </w:t>
      </w:r>
      <w:r>
        <w:rPr>
          <w:rFonts w:ascii="Times New Roman" w:eastAsia="Times New Roman"/>
          <w:sz w:val="24"/>
        </w:rPr>
        <w:t>11</w:t>
      </w:r>
      <w:r>
        <w:rPr>
          <w:rFonts w:ascii="Times New Roman" w:eastAsia="Times New Roman"/>
          <w:spacing w:val="69"/>
          <w:sz w:val="24"/>
        </w:rPr>
        <w:t> </w:t>
      </w:r>
      <w:r>
        <w:rPr>
          <w:spacing w:val="15"/>
          <w:sz w:val="24"/>
        </w:rPr>
        <w:t>某省政务数据汇聚主题模型</w:t>
      </w:r>
    </w:p>
    <w:p>
      <w:pPr>
        <w:pStyle w:val="BodyText"/>
        <w:spacing w:before="3"/>
        <w:rPr>
          <w:sz w:val="32"/>
        </w:rPr>
      </w:pPr>
    </w:p>
    <w:p>
      <w:pPr>
        <w:pStyle w:val="BodyText"/>
        <w:ind w:left="1329" w:right="770"/>
        <w:jc w:val="center"/>
      </w:pPr>
      <w:r>
        <w:rPr>
          <w:spacing w:val="-9"/>
        </w:rPr>
        <w:t>其次是政务数据资产的治理。就是考虑数据资产如何规范化、数</w:t>
      </w:r>
    </w:p>
    <w:p>
      <w:pPr>
        <w:pStyle w:val="BodyText"/>
        <w:spacing w:before="6"/>
        <w:rPr>
          <w:sz w:val="15"/>
        </w:rPr>
      </w:pPr>
    </w:p>
    <w:p>
      <w:pPr>
        <w:spacing w:before="93"/>
        <w:ind w:left="1329" w:right="1325" w:firstLine="0"/>
        <w:jc w:val="center"/>
        <w:rPr>
          <w:rFonts w:ascii="Times New Roman"/>
          <w:sz w:val="18"/>
        </w:rPr>
      </w:pPr>
      <w:r>
        <w:rPr>
          <w:rFonts w:ascii="Times New Roman"/>
          <w:spacing w:val="-5"/>
          <w:sz w:val="18"/>
        </w:rPr>
        <w:t>80</w:t>
      </w:r>
    </w:p>
    <w:p>
      <w:pPr>
        <w:spacing w:after="0"/>
        <w:jc w:val="center"/>
        <w:rPr>
          <w:rFonts w:ascii="Times New Roman"/>
          <w:sz w:val="18"/>
        </w:rPr>
        <w:sectPr>
          <w:headerReference w:type="default" r:id="rId9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5"/>
      </w:pPr>
      <w:r>
        <w:rPr/>
        <w:drawing>
          <wp:anchor distT="0" distB="0" distL="0" distR="0" allowOverlap="1" layoutInCell="1" locked="0" behindDoc="0" simplePos="0" relativeHeight="15738880">
            <wp:simplePos x="0" y="0"/>
            <wp:positionH relativeFrom="page">
              <wp:posOffset>1270000</wp:posOffset>
            </wp:positionH>
            <wp:positionV relativeFrom="paragraph">
              <wp:posOffset>4487917</wp:posOffset>
            </wp:positionV>
            <wp:extent cx="5274309" cy="2836045"/>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02" cstate="print"/>
                    <a:stretch>
                      <a:fillRect/>
                    </a:stretch>
                  </pic:blipFill>
                  <pic:spPr>
                    <a:xfrm>
                      <a:off x="0" y="0"/>
                      <a:ext cx="5274309" cy="2836045"/>
                    </a:xfrm>
                    <a:prstGeom prst="rect">
                      <a:avLst/>
                    </a:prstGeom>
                  </pic:spPr>
                </pic:pic>
              </a:graphicData>
            </a:graphic>
          </wp:anchor>
        </w:drawing>
      </w:r>
      <w:r>
        <w:rPr>
          <w:spacing w:val="-2"/>
        </w:rPr>
        <w:t>据质量如何提升、数据安全如何保障等，实现数据资产的可控制、可量化、可变现。数据治理是需要一套体系来保障的，是组织、制度、</w:t>
      </w:r>
      <w:r>
        <w:rPr>
          <w:spacing w:val="-23"/>
        </w:rPr>
        <w:t>流程、技术的组合，更重要的是管理、维护、开发内外部数据的活动。</w:t>
      </w:r>
      <w:r>
        <w:rPr>
          <w:spacing w:val="-2"/>
        </w:rPr>
        <w:t>该过程一般包括数据架构与模型管理、数据标准管理、元数据管理、</w:t>
      </w:r>
      <w:r>
        <w:rPr>
          <w:spacing w:val="-2"/>
        </w:rPr>
        <w:t>数据质量管理、主数据管理、数据生命周期管理、数据安全与隐私管</w:t>
      </w:r>
      <w:r>
        <w:rPr>
          <w:spacing w:val="-8"/>
        </w:rPr>
        <w:t>理、数据服务管理 </w:t>
      </w:r>
      <w:r>
        <w:rPr>
          <w:rFonts w:ascii="Times New Roman" w:eastAsia="Times New Roman"/>
        </w:rPr>
        <w:t>8 </w:t>
      </w:r>
      <w:r>
        <w:rPr/>
        <w:t>个主题，其中数据架构和模型将定义企业数据资</w:t>
      </w:r>
      <w:r>
        <w:rPr>
          <w:spacing w:val="-9"/>
        </w:rPr>
        <w:t>产的框架，是数据治理的灵魂；数据标准是经协商一致制定并由相关</w:t>
      </w:r>
      <w:r>
        <w:rPr>
          <w:spacing w:val="-2"/>
        </w:rPr>
        <w:t>主管机构批准，共同使用和重复使用的一种规范性文件，是数据治理</w:t>
      </w:r>
      <w:r>
        <w:rPr>
          <w:spacing w:val="-2"/>
        </w:rPr>
        <w:t>的核心；元数据是用来定义数据的数据，是企业数据资产的地图，是</w:t>
      </w:r>
      <w:r>
        <w:rPr>
          <w:spacing w:val="-9"/>
        </w:rPr>
        <w:t>数据治理的基础；数据质量管理将对数据进行检核，发现数据质量问</w:t>
      </w:r>
      <w:r>
        <w:rPr>
          <w:spacing w:val="-2"/>
        </w:rPr>
        <w:t>题，并予以解决，是数据治理的目标。</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1329" w:right="1155" w:firstLine="0"/>
        <w:jc w:val="center"/>
        <w:rPr>
          <w:sz w:val="24"/>
        </w:rPr>
      </w:pPr>
      <w:bookmarkStart w:name="_bookmark77" w:id="78"/>
      <w:bookmarkEnd w:id="78"/>
      <w:r>
        <w:rPr/>
      </w:r>
      <w:r>
        <w:rPr>
          <w:spacing w:val="9"/>
          <w:sz w:val="24"/>
        </w:rPr>
        <w:t>图 </w:t>
      </w:r>
      <w:r>
        <w:rPr>
          <w:rFonts w:ascii="Times New Roman" w:eastAsia="Times New Roman"/>
          <w:sz w:val="24"/>
        </w:rPr>
        <w:t>12</w:t>
      </w:r>
      <w:r>
        <w:rPr>
          <w:rFonts w:ascii="Times New Roman" w:eastAsia="Times New Roman"/>
          <w:spacing w:val="69"/>
          <w:sz w:val="24"/>
        </w:rPr>
        <w:t> </w:t>
      </w:r>
      <w:r>
        <w:rPr>
          <w:spacing w:val="15"/>
          <w:sz w:val="24"/>
        </w:rPr>
        <w:t>某省政务数据资产治理架构图</w:t>
      </w:r>
    </w:p>
    <w:p>
      <w:pPr>
        <w:pStyle w:val="BodyText"/>
        <w:spacing w:before="7"/>
        <w:rPr>
          <w:sz w:val="31"/>
        </w:rPr>
      </w:pPr>
    </w:p>
    <w:p>
      <w:pPr>
        <w:pStyle w:val="BodyText"/>
        <w:spacing w:line="417" w:lineRule="auto"/>
        <w:ind w:left="1320" w:right="1179" w:firstLine="559"/>
      </w:pPr>
      <w:r>
        <w:rPr>
          <w:spacing w:val="-2"/>
        </w:rPr>
        <w:t>最后是政务数据资产的应用，这也是政务数据资产的价值所在。</w:t>
      </w:r>
      <w:r>
        <w:rPr>
          <w:spacing w:val="-6"/>
        </w:rPr>
        <w:t>政务大数据资产管理平台在数据应用端全面支持惠民、兴业和善政三</w:t>
      </w:r>
      <w:r>
        <w:rPr>
          <w:spacing w:val="-2"/>
        </w:rPr>
        <w:t>大方面服务能力，通过数据在民生服务、城市管理、产业经济、生态</w:t>
      </w:r>
    </w:p>
    <w:p>
      <w:pPr>
        <w:spacing w:line="191" w:lineRule="exact" w:before="0"/>
        <w:ind w:left="1329" w:right="1325" w:firstLine="0"/>
        <w:jc w:val="center"/>
        <w:rPr>
          <w:rFonts w:ascii="Times New Roman"/>
          <w:sz w:val="18"/>
        </w:rPr>
      </w:pPr>
      <w:r>
        <w:rPr>
          <w:rFonts w:ascii="Times New Roman"/>
          <w:spacing w:val="-5"/>
          <w:sz w:val="18"/>
        </w:rPr>
        <w:t>81</w:t>
      </w:r>
    </w:p>
    <w:p>
      <w:pPr>
        <w:spacing w:after="0" w:line="191" w:lineRule="exact"/>
        <w:jc w:val="center"/>
        <w:rPr>
          <w:rFonts w:ascii="Times New Roman"/>
          <w:sz w:val="18"/>
        </w:rPr>
        <w:sectPr>
          <w:headerReference w:type="default" r:id="rId101"/>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宜居等领域提供完善的服务。</w:t>
      </w:r>
    </w:p>
    <w:p>
      <w:pPr>
        <w:pStyle w:val="BodyText"/>
        <w:rPr>
          <w:sz w:val="20"/>
        </w:rPr>
      </w:pPr>
      <w:r>
        <w:rPr/>
        <w:drawing>
          <wp:anchor distT="0" distB="0" distL="0" distR="0" allowOverlap="1" layoutInCell="1" locked="0" behindDoc="0" simplePos="0" relativeHeight="21">
            <wp:simplePos x="0" y="0"/>
            <wp:positionH relativeFrom="page">
              <wp:posOffset>1270000</wp:posOffset>
            </wp:positionH>
            <wp:positionV relativeFrom="paragraph">
              <wp:posOffset>177974</wp:posOffset>
            </wp:positionV>
            <wp:extent cx="5265962" cy="1815083"/>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04" cstate="print"/>
                    <a:stretch>
                      <a:fillRect/>
                    </a:stretch>
                  </pic:blipFill>
                  <pic:spPr>
                    <a:xfrm>
                      <a:off x="0" y="0"/>
                      <a:ext cx="5265962" cy="1815083"/>
                    </a:xfrm>
                    <a:prstGeom prst="rect">
                      <a:avLst/>
                    </a:prstGeom>
                  </pic:spPr>
                </pic:pic>
              </a:graphicData>
            </a:graphic>
          </wp:anchor>
        </w:drawing>
      </w:r>
    </w:p>
    <w:p>
      <w:pPr>
        <w:spacing w:before="195"/>
        <w:ind w:left="1329" w:right="1155" w:firstLine="0"/>
        <w:jc w:val="center"/>
        <w:rPr>
          <w:sz w:val="24"/>
        </w:rPr>
      </w:pPr>
      <w:bookmarkStart w:name="_bookmark78" w:id="79"/>
      <w:bookmarkEnd w:id="79"/>
      <w:r>
        <w:rPr/>
      </w:r>
      <w:r>
        <w:rPr>
          <w:spacing w:val="9"/>
          <w:sz w:val="24"/>
        </w:rPr>
        <w:t>图 </w:t>
      </w:r>
      <w:r>
        <w:rPr>
          <w:rFonts w:ascii="Times New Roman" w:eastAsia="Times New Roman"/>
          <w:sz w:val="24"/>
        </w:rPr>
        <w:t>13</w:t>
      </w:r>
      <w:r>
        <w:rPr>
          <w:rFonts w:ascii="Times New Roman" w:eastAsia="Times New Roman"/>
          <w:spacing w:val="69"/>
          <w:sz w:val="24"/>
        </w:rPr>
        <w:t> </w:t>
      </w:r>
      <w:r>
        <w:rPr>
          <w:spacing w:val="15"/>
          <w:sz w:val="24"/>
        </w:rPr>
        <w:t>某省政务数据资产应用架构图</w:t>
      </w:r>
    </w:p>
    <w:p>
      <w:pPr>
        <w:pStyle w:val="BodyText"/>
        <w:spacing w:before="1"/>
        <w:rPr>
          <w:sz w:val="32"/>
        </w:rPr>
      </w:pPr>
    </w:p>
    <w:p>
      <w:pPr>
        <w:pStyle w:val="BodyText"/>
        <w:ind w:left="1879"/>
        <w:rPr>
          <w:rFonts w:ascii="黑体" w:eastAsia="黑体"/>
        </w:rPr>
      </w:pPr>
      <w:r>
        <w:rPr>
          <w:rFonts w:ascii="黑体" w:eastAsia="黑体"/>
          <w:spacing w:val="-4"/>
        </w:rPr>
        <w:t>【应用效果】</w:t>
      </w:r>
    </w:p>
    <w:p>
      <w:pPr>
        <w:pStyle w:val="Heading3"/>
        <w:numPr>
          <w:ilvl w:val="0"/>
          <w:numId w:val="28"/>
        </w:numPr>
        <w:tabs>
          <w:tab w:pos="2203" w:val="left" w:leader="none"/>
        </w:tabs>
        <w:spacing w:line="240" w:lineRule="auto" w:before="238" w:after="0"/>
        <w:ind w:left="2202" w:right="0" w:hanging="242"/>
        <w:jc w:val="left"/>
      </w:pPr>
      <w:r>
        <w:rPr>
          <w:w w:val="95"/>
        </w:rPr>
        <w:t>全</w:t>
      </w:r>
      <w:r>
        <w:rPr>
          <w:w w:val="95"/>
        </w:rPr>
        <w:t>省</w:t>
      </w:r>
      <w:r>
        <w:rPr>
          <w:w w:val="95"/>
        </w:rPr>
        <w:t>政</w:t>
      </w:r>
      <w:r>
        <w:rPr>
          <w:w w:val="95"/>
        </w:rPr>
        <w:t>务</w:t>
      </w:r>
      <w:r>
        <w:rPr>
          <w:w w:val="95"/>
        </w:rPr>
        <w:t>大</w:t>
      </w:r>
      <w:r>
        <w:rPr>
          <w:w w:val="95"/>
        </w:rPr>
        <w:t>数</w:t>
      </w:r>
      <w:r>
        <w:rPr>
          <w:w w:val="95"/>
        </w:rPr>
        <w:t>据</w:t>
      </w:r>
      <w:r>
        <w:rPr>
          <w:w w:val="95"/>
        </w:rPr>
        <w:t>资</w:t>
      </w:r>
      <w:r>
        <w:rPr>
          <w:w w:val="95"/>
        </w:rPr>
        <w:t>产</w:t>
      </w:r>
      <w:r>
        <w:rPr>
          <w:w w:val="95"/>
        </w:rPr>
        <w:t>管</w:t>
      </w:r>
      <w:r>
        <w:rPr>
          <w:w w:val="95"/>
        </w:rPr>
        <w:t>理</w:t>
      </w:r>
      <w:r>
        <w:rPr>
          <w:w w:val="95"/>
        </w:rPr>
        <w:t>平</w:t>
      </w:r>
      <w:r>
        <w:rPr>
          <w:spacing w:val="-10"/>
          <w:w w:val="95"/>
        </w:rPr>
        <w:t>台</w:t>
      </w:r>
    </w:p>
    <w:p>
      <w:pPr>
        <w:pStyle w:val="BodyText"/>
        <w:spacing w:line="417" w:lineRule="auto" w:before="242"/>
        <w:ind w:left="1320" w:right="1315" w:firstLine="559"/>
        <w:jc w:val="both"/>
      </w:pPr>
      <w:r>
        <w:rPr>
          <w:spacing w:val="-8"/>
        </w:rPr>
        <w:t>通过政务大数据资产管理平台的建设，将有效整合全省市管理和</w:t>
      </w:r>
      <w:r>
        <w:rPr>
          <w:spacing w:val="-9"/>
        </w:rPr>
        <w:t>服务资源，从而大幅度降低社会管理与服务的成本，有力推进全省大</w:t>
      </w:r>
      <w:r>
        <w:rPr>
          <w:spacing w:val="-2"/>
        </w:rPr>
        <w:t>数据相关应用的建设。</w:t>
      </w:r>
    </w:p>
    <w:p>
      <w:pPr>
        <w:pStyle w:val="BodyText"/>
        <w:spacing w:line="417" w:lineRule="auto"/>
        <w:ind w:left="1320" w:right="1179" w:firstLine="559"/>
      </w:pPr>
      <w:r>
        <w:rPr>
          <w:spacing w:val="-2"/>
        </w:rPr>
        <w:t>为各委办厅局相关大数据应用建设提供统一的数据存储、计算、</w:t>
      </w:r>
      <w:r>
        <w:rPr>
          <w:spacing w:val="-2"/>
        </w:rPr>
        <w:t>分析、可视化以及技术支撑，降低基础设施建设费用，大大降低大数</w:t>
      </w:r>
      <w:r>
        <w:rPr>
          <w:spacing w:val="-2"/>
        </w:rPr>
        <w:t>据应用建设成本。</w:t>
      </w:r>
    </w:p>
    <w:p>
      <w:pPr>
        <w:pStyle w:val="BodyText"/>
        <w:spacing w:line="417" w:lineRule="auto"/>
        <w:ind w:left="1320" w:right="1315" w:firstLine="559"/>
        <w:jc w:val="both"/>
      </w:pPr>
      <w:r>
        <w:rPr>
          <w:spacing w:val="-4"/>
        </w:rPr>
        <w:t>重塑数据来源通道，一次采集全省共用，减少工作人员重复采集</w:t>
      </w:r>
      <w:r>
        <w:rPr>
          <w:spacing w:val="-5"/>
        </w:rPr>
        <w:t>的人力成本；各委办厅局可使用该平台进行数据采集，降低大数据采</w:t>
      </w:r>
      <w:r>
        <w:rPr>
          <w:spacing w:val="-2"/>
        </w:rPr>
        <w:t>集的开发及维护成本。</w:t>
      </w:r>
    </w:p>
    <w:p>
      <w:pPr>
        <w:pStyle w:val="BodyText"/>
        <w:spacing w:line="417" w:lineRule="auto"/>
        <w:ind w:left="1320" w:right="1315" w:firstLine="559"/>
        <w:jc w:val="both"/>
      </w:pPr>
      <w:r>
        <w:rPr>
          <w:spacing w:val="-7"/>
        </w:rPr>
        <w:t>良好的数据质量是大数据平台稳定运行的基础，因此数据质量的</w:t>
      </w:r>
      <w:r>
        <w:rPr>
          <w:spacing w:val="-6"/>
        </w:rPr>
        <w:t>好坏将影响大数据平台的稳定运行；通过该平台，各委办厅局可以及</w:t>
      </w:r>
      <w:r>
        <w:rPr>
          <w:spacing w:val="-7"/>
        </w:rPr>
        <w:t>时的发现大数据应用运行过程中出现的数据问题，从而提升大数据应</w:t>
      </w:r>
      <w:r>
        <w:rPr>
          <w:spacing w:val="-2"/>
        </w:rPr>
        <w:t>用的数据质量。</w:t>
      </w:r>
    </w:p>
    <w:p>
      <w:pPr>
        <w:spacing w:before="69"/>
        <w:ind w:left="1329" w:right="1325" w:firstLine="0"/>
        <w:jc w:val="center"/>
        <w:rPr>
          <w:rFonts w:ascii="Times New Roman"/>
          <w:sz w:val="18"/>
        </w:rPr>
      </w:pPr>
      <w:r>
        <w:rPr>
          <w:rFonts w:ascii="Times New Roman"/>
          <w:spacing w:val="-5"/>
          <w:sz w:val="18"/>
        </w:rPr>
        <w:t>82</w:t>
      </w:r>
    </w:p>
    <w:p>
      <w:pPr>
        <w:spacing w:after="0"/>
        <w:jc w:val="center"/>
        <w:rPr>
          <w:rFonts w:ascii="Times New Roman"/>
          <w:sz w:val="18"/>
        </w:rPr>
        <w:sectPr>
          <w:headerReference w:type="default" r:id="rId103"/>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037" w:firstLine="559"/>
      </w:pPr>
      <w:r>
        <w:rPr>
          <w:spacing w:val="-9"/>
        </w:rPr>
        <w:t>通过实施公共机构数据开放策略，推进公共机构数据资源统一汇</w:t>
      </w:r>
      <w:r>
        <w:rPr>
          <w:spacing w:val="-2"/>
        </w:rPr>
        <w:t> </w:t>
      </w:r>
      <w:r>
        <w:rPr>
          <w:spacing w:val="-2"/>
        </w:rPr>
        <w:t>聚和有序开放；面向政府部门、行业事业部门、大中小型企业、广大 </w:t>
      </w:r>
      <w:r>
        <w:rPr>
          <w:spacing w:val="-4"/>
        </w:rPr>
        <w:t>公众用户等根据开放机制开放平台能力，形成不同资源按需开放，实</w:t>
      </w:r>
      <w:r>
        <w:rPr>
          <w:spacing w:val="-2"/>
        </w:rPr>
        <w:t> </w:t>
      </w:r>
      <w:r>
        <w:rPr>
          <w:spacing w:val="-12"/>
        </w:rPr>
        <w:t>现平台资源有效利用，促进市区县等地方部门开发地区数据惠民应用。</w:t>
      </w:r>
    </w:p>
    <w:p>
      <w:pPr>
        <w:pStyle w:val="BodyText"/>
        <w:spacing w:line="417" w:lineRule="auto"/>
        <w:ind w:left="1320" w:right="1316" w:firstLine="559"/>
        <w:jc w:val="both"/>
      </w:pPr>
      <w:r>
        <w:rPr>
          <w:spacing w:val="-2"/>
        </w:rPr>
        <w:t>目前大数据平台服务器全部部署以及大数据组件的安装全部完</w:t>
      </w:r>
      <w:r>
        <w:rPr>
          <w:spacing w:val="-3"/>
        </w:rPr>
        <w:t>成，包括数据清洗融合服务器 </w:t>
      </w:r>
      <w:r>
        <w:rPr>
          <w:rFonts w:ascii="Times New Roman" w:eastAsia="Times New Roman"/>
        </w:rPr>
        <w:t>2</w:t>
      </w:r>
      <w:r>
        <w:rPr>
          <w:rFonts w:ascii="Times New Roman" w:eastAsia="Times New Roman"/>
          <w:spacing w:val="-18"/>
        </w:rPr>
        <w:t> </w:t>
      </w:r>
      <w:r>
        <w:rPr>
          <w:spacing w:val="-3"/>
        </w:rPr>
        <w:t>台、数据计算存储服务器 </w:t>
      </w:r>
      <w:r>
        <w:rPr>
          <w:rFonts w:ascii="Times New Roman" w:eastAsia="Times New Roman"/>
        </w:rPr>
        <w:t>20</w:t>
      </w:r>
      <w:r>
        <w:rPr>
          <w:rFonts w:ascii="Times New Roman" w:eastAsia="Times New Roman"/>
          <w:spacing w:val="-17"/>
        </w:rPr>
        <w:t> </w:t>
      </w:r>
      <w:r>
        <w:rPr/>
        <w:t>台、行</w:t>
      </w:r>
      <w:r>
        <w:rPr>
          <w:spacing w:val="-8"/>
        </w:rPr>
        <w:t>业应用服务器 </w:t>
      </w:r>
      <w:r>
        <w:rPr>
          <w:rFonts w:ascii="Times New Roman" w:eastAsia="Times New Roman"/>
          <w:spacing w:val="-4"/>
        </w:rPr>
        <w:t>7</w:t>
      </w:r>
      <w:r>
        <w:rPr>
          <w:rFonts w:ascii="Times New Roman" w:eastAsia="Times New Roman"/>
          <w:spacing w:val="-14"/>
        </w:rPr>
        <w:t> </w:t>
      </w:r>
      <w:r>
        <w:rPr>
          <w:spacing w:val="-4"/>
        </w:rPr>
        <w:t>台，可支撑各厅局行业大数据的建设，</w:t>
      </w:r>
      <w:r>
        <w:rPr>
          <w:rFonts w:ascii="Times New Roman" w:eastAsia="Times New Roman"/>
          <w:spacing w:val="-4"/>
        </w:rPr>
        <w:t>30T</w:t>
      </w:r>
      <w:r>
        <w:rPr>
          <w:rFonts w:ascii="Times New Roman" w:eastAsia="Times New Roman"/>
          <w:spacing w:val="11"/>
        </w:rPr>
        <w:t> </w:t>
      </w:r>
      <w:r>
        <w:rPr>
          <w:spacing w:val="-4"/>
        </w:rPr>
        <w:t>的存储空</w:t>
      </w:r>
      <w:r>
        <w:rPr>
          <w:spacing w:val="-7"/>
        </w:rPr>
        <w:t>间，在一年之内使用 </w:t>
      </w:r>
      <w:r>
        <w:rPr>
          <w:rFonts w:ascii="Times New Roman" w:eastAsia="Times New Roman"/>
          <w:spacing w:val="-4"/>
        </w:rPr>
        <w:t>15T</w:t>
      </w:r>
      <w:r>
        <w:rPr>
          <w:spacing w:val="-4"/>
        </w:rPr>
        <w:t>，具备为其他厅局提供大数据平台服务的基</w:t>
      </w:r>
      <w:r>
        <w:rPr/>
        <w:t>本能力，</w:t>
      </w:r>
      <w:r>
        <w:rPr>
          <w:rFonts w:ascii="Times New Roman" w:eastAsia="Times New Roman"/>
        </w:rPr>
        <w:t>15T </w:t>
      </w:r>
      <w:r>
        <w:rPr/>
        <w:t>的空间可以使用，而且可以按需扩展平台节点。</w:t>
      </w:r>
    </w:p>
    <w:p>
      <w:pPr>
        <w:pStyle w:val="Heading3"/>
        <w:numPr>
          <w:ilvl w:val="0"/>
          <w:numId w:val="28"/>
        </w:numPr>
        <w:tabs>
          <w:tab w:pos="2203" w:val="left" w:leader="none"/>
        </w:tabs>
        <w:spacing w:line="381" w:lineRule="exact" w:before="0" w:after="0"/>
        <w:ind w:left="2202" w:right="0" w:hanging="242"/>
        <w:jc w:val="left"/>
      </w:pPr>
      <w:r>
        <w:rPr>
          <w:w w:val="95"/>
        </w:rPr>
        <w:t>候</w:t>
      </w:r>
      <w:r>
        <w:rPr>
          <w:w w:val="95"/>
        </w:rPr>
        <w:t>鸟</w:t>
      </w:r>
      <w:r>
        <w:rPr>
          <w:w w:val="95"/>
        </w:rPr>
        <w:t>人</w:t>
      </w:r>
      <w:r>
        <w:rPr>
          <w:w w:val="95"/>
        </w:rPr>
        <w:t>才</w:t>
      </w:r>
      <w:r>
        <w:rPr>
          <w:w w:val="95"/>
        </w:rPr>
        <w:t>专</w:t>
      </w:r>
      <w:r>
        <w:rPr>
          <w:w w:val="95"/>
        </w:rPr>
        <w:t>题</w:t>
      </w:r>
      <w:r>
        <w:rPr>
          <w:w w:val="95"/>
        </w:rPr>
        <w:t>分</w:t>
      </w:r>
      <w:r>
        <w:rPr>
          <w:w w:val="95"/>
        </w:rPr>
        <w:t>析</w:t>
      </w:r>
      <w:r>
        <w:rPr>
          <w:w w:val="95"/>
        </w:rPr>
        <w:t>应</w:t>
      </w:r>
      <w:r>
        <w:rPr>
          <w:spacing w:val="-10"/>
          <w:w w:val="95"/>
        </w:rPr>
        <w:t>用</w:t>
      </w:r>
    </w:p>
    <w:p>
      <w:pPr>
        <w:pStyle w:val="BodyText"/>
        <w:spacing w:line="417" w:lineRule="auto" w:before="241"/>
        <w:ind w:left="1320" w:right="1179" w:firstLine="559"/>
      </w:pPr>
      <w:r>
        <w:rPr>
          <w:spacing w:val="-7"/>
        </w:rPr>
        <w:t>利用社区网格化工作人员采集结合社会众包采集、互联网爬取人</w:t>
      </w:r>
      <w:r>
        <w:rPr>
          <w:spacing w:val="-6"/>
        </w:rPr>
        <w:t>才数据与政务流动人口的数据碰撞，以及通过与教育厅、组织部的人</w:t>
      </w:r>
      <w:r>
        <w:rPr>
          <w:spacing w:val="-6"/>
        </w:rPr>
        <w:t>才上报系统的数据交换共享，建设某省高端候鸟人才主题库。进行高</w:t>
      </w:r>
      <w:r>
        <w:rPr>
          <w:spacing w:val="-19"/>
        </w:rPr>
        <w:t>端候鸟人才画像、进项候鸟人才统计分析、候鸟政策智能推送服务等，</w:t>
      </w:r>
      <w:r>
        <w:rPr>
          <w:spacing w:val="-2"/>
        </w:rPr>
        <w:t>为善待和善用候鸟人才提供技术支撑。</w:t>
      </w:r>
    </w:p>
    <w:p>
      <w:pPr>
        <w:pStyle w:val="Heading3"/>
        <w:numPr>
          <w:ilvl w:val="0"/>
          <w:numId w:val="28"/>
        </w:numPr>
        <w:tabs>
          <w:tab w:pos="2203" w:val="left" w:leader="none"/>
        </w:tabs>
        <w:spacing w:line="381" w:lineRule="exact" w:before="0" w:after="0"/>
        <w:ind w:left="2202" w:right="0" w:hanging="242"/>
        <w:jc w:val="left"/>
      </w:pPr>
      <w:r>
        <w:rPr>
          <w:w w:val="95"/>
        </w:rPr>
        <w:t>智</w:t>
      </w:r>
      <w:r>
        <w:rPr>
          <w:w w:val="95"/>
        </w:rPr>
        <w:t>能</w:t>
      </w:r>
      <w:r>
        <w:rPr>
          <w:w w:val="95"/>
        </w:rPr>
        <w:t>办</w:t>
      </w:r>
      <w:r>
        <w:rPr>
          <w:w w:val="95"/>
        </w:rPr>
        <w:t>公</w:t>
      </w:r>
      <w:r>
        <w:rPr>
          <w:w w:val="95"/>
        </w:rPr>
        <w:t>数</w:t>
      </w:r>
      <w:r>
        <w:rPr>
          <w:w w:val="95"/>
        </w:rPr>
        <w:t>据</w:t>
      </w:r>
      <w:r>
        <w:rPr>
          <w:w w:val="95"/>
        </w:rPr>
        <w:t>服</w:t>
      </w:r>
      <w:r>
        <w:rPr>
          <w:w w:val="95"/>
        </w:rPr>
        <w:t>务</w:t>
      </w:r>
      <w:r>
        <w:rPr>
          <w:w w:val="95"/>
        </w:rPr>
        <w:t>示</w:t>
      </w:r>
      <w:r>
        <w:rPr>
          <w:w w:val="95"/>
        </w:rPr>
        <w:t>范</w:t>
      </w:r>
      <w:r>
        <w:rPr>
          <w:w w:val="95"/>
        </w:rPr>
        <w:t>应</w:t>
      </w:r>
      <w:r>
        <w:rPr>
          <w:spacing w:val="-10"/>
          <w:w w:val="95"/>
        </w:rPr>
        <w:t>用</w:t>
      </w:r>
    </w:p>
    <w:p>
      <w:pPr>
        <w:pStyle w:val="BodyText"/>
        <w:spacing w:line="417" w:lineRule="auto" w:before="242"/>
        <w:ind w:left="1320" w:right="1314" w:firstLine="559"/>
        <w:jc w:val="both"/>
      </w:pPr>
      <w:r>
        <w:rPr>
          <w:spacing w:val="-9"/>
        </w:rPr>
        <w:t>利用大数据存储和分类建模技术，对各委办厅局日常办公系统中</w:t>
      </w:r>
      <w:r>
        <w:rPr>
          <w:spacing w:val="-7"/>
        </w:rPr>
        <w:t>产生的大量文档类数据进行有效的存储和数据挖掘。通过大数据挖掘</w:t>
      </w:r>
      <w:r>
        <w:rPr>
          <w:spacing w:val="-6"/>
        </w:rPr>
        <w:t>分析，加强日常办公服务的便利性和智能化，为 </w:t>
      </w:r>
      <w:r>
        <w:rPr>
          <w:rFonts w:ascii="Times New Roman" w:eastAsia="Times New Roman"/>
          <w:spacing w:val="-4"/>
        </w:rPr>
        <w:t>OA</w:t>
      </w:r>
      <w:r>
        <w:rPr>
          <w:rFonts w:ascii="Times New Roman" w:eastAsia="Times New Roman"/>
          <w:spacing w:val="-14"/>
        </w:rPr>
        <w:t> </w:t>
      </w:r>
      <w:r>
        <w:rPr>
          <w:spacing w:val="-4"/>
        </w:rPr>
        <w:t>系统提高文档快</w:t>
      </w:r>
      <w:r>
        <w:rPr>
          <w:spacing w:val="-2"/>
        </w:rPr>
        <w:t>速查询、文档分类检索、文档比对分析的支撑服务能力。</w:t>
      </w:r>
    </w:p>
    <w:p>
      <w:pPr>
        <w:pStyle w:val="Heading3"/>
        <w:numPr>
          <w:ilvl w:val="0"/>
          <w:numId w:val="28"/>
        </w:numPr>
        <w:tabs>
          <w:tab w:pos="2203" w:val="left" w:leader="none"/>
        </w:tabs>
        <w:spacing w:line="382" w:lineRule="exact" w:before="0" w:after="0"/>
        <w:ind w:left="2202" w:right="0" w:hanging="242"/>
        <w:jc w:val="left"/>
      </w:pPr>
      <w:r>
        <w:rPr>
          <w:w w:val="95"/>
        </w:rPr>
        <w:t>人</w:t>
      </w:r>
      <w:r>
        <w:rPr>
          <w:w w:val="95"/>
        </w:rPr>
        <w:t>口</w:t>
      </w:r>
      <w:r>
        <w:rPr>
          <w:w w:val="95"/>
        </w:rPr>
        <w:t>民</w:t>
      </w:r>
      <w:r>
        <w:rPr>
          <w:w w:val="95"/>
        </w:rPr>
        <w:t>生</w:t>
      </w:r>
      <w:r>
        <w:rPr>
          <w:w w:val="95"/>
        </w:rPr>
        <w:t>服</w:t>
      </w:r>
      <w:r>
        <w:rPr>
          <w:w w:val="95"/>
        </w:rPr>
        <w:t>务</w:t>
      </w:r>
      <w:r>
        <w:rPr>
          <w:w w:val="95"/>
        </w:rPr>
        <w:t>示</w:t>
      </w:r>
      <w:r>
        <w:rPr>
          <w:w w:val="95"/>
        </w:rPr>
        <w:t>范</w:t>
      </w:r>
      <w:r>
        <w:rPr>
          <w:w w:val="95"/>
        </w:rPr>
        <w:t>应</w:t>
      </w:r>
      <w:r>
        <w:rPr>
          <w:spacing w:val="-10"/>
          <w:w w:val="95"/>
        </w:rPr>
        <w:t>用</w:t>
      </w:r>
    </w:p>
    <w:p>
      <w:pPr>
        <w:pStyle w:val="BodyText"/>
        <w:spacing w:before="242"/>
        <w:ind w:left="1879"/>
      </w:pPr>
      <w:r>
        <w:rPr>
          <w:spacing w:val="-1"/>
        </w:rPr>
        <w:t>通过对某省各厅局各委办局各个部门关于人口和法人数据的汇</w:t>
      </w:r>
    </w:p>
    <w:p>
      <w:pPr>
        <w:pStyle w:val="BodyText"/>
        <w:rPr>
          <w:sz w:val="20"/>
        </w:rPr>
      </w:pPr>
    </w:p>
    <w:p>
      <w:pPr>
        <w:pStyle w:val="BodyText"/>
        <w:spacing w:before="5"/>
        <w:rPr>
          <w:sz w:val="19"/>
        </w:rPr>
      </w:pPr>
    </w:p>
    <w:p>
      <w:pPr>
        <w:spacing w:before="93"/>
        <w:ind w:left="1329" w:right="1325" w:firstLine="0"/>
        <w:jc w:val="center"/>
        <w:rPr>
          <w:rFonts w:ascii="Times New Roman"/>
          <w:sz w:val="18"/>
        </w:rPr>
      </w:pPr>
      <w:r>
        <w:rPr>
          <w:rFonts w:ascii="Times New Roman"/>
          <w:spacing w:val="-5"/>
          <w:sz w:val="18"/>
        </w:rPr>
        <w:t>83</w:t>
      </w:r>
    </w:p>
    <w:p>
      <w:pPr>
        <w:spacing w:after="0"/>
        <w:jc w:val="center"/>
        <w:rPr>
          <w:rFonts w:ascii="Times New Roman"/>
          <w:sz w:val="18"/>
        </w:rPr>
        <w:sectPr>
          <w:headerReference w:type="default" r:id="rId105"/>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175"/>
      </w:pPr>
      <w:r>
        <w:rPr>
          <w:spacing w:val="-2"/>
        </w:rPr>
        <w:t>总与分析，经过了统一的数据标准化、数据稽查、数据比对、数据关</w:t>
      </w:r>
      <w:r>
        <w:rPr>
          <w:spacing w:val="-2"/>
        </w:rPr>
        <w:t>联操作，完善数据结构。以</w:t>
      </w:r>
      <w:r>
        <w:rPr>
          <w:rFonts w:ascii="Times New Roman" w:hAnsi="Times New Roman" w:eastAsia="Times New Roman"/>
          <w:spacing w:val="-2"/>
        </w:rPr>
        <w:t>“</w:t>
      </w:r>
      <w:r>
        <w:rPr>
          <w:spacing w:val="-2"/>
        </w:rPr>
        <w:t>人口</w:t>
      </w:r>
      <w:r>
        <w:rPr>
          <w:rFonts w:ascii="Times New Roman" w:hAnsi="Times New Roman" w:eastAsia="Times New Roman"/>
          <w:spacing w:val="-2"/>
        </w:rPr>
        <w:t>”</w:t>
      </w:r>
      <w:r>
        <w:rPr>
          <w:spacing w:val="-2"/>
        </w:rPr>
        <w:t>为核心，在社保、民政、教育、计</w:t>
      </w:r>
      <w:r>
        <w:rPr>
          <w:spacing w:val="-2"/>
        </w:rPr>
        <w:t>生、残联等领域，采集户籍人口、长期居住人口、流动人口数据并进</w:t>
      </w:r>
      <w:r>
        <w:rPr>
          <w:spacing w:val="-2"/>
        </w:rPr>
        <w:t>行整理、整合，通过人口和社区大数据分析人口的年龄、教育程度、</w:t>
      </w:r>
      <w:r>
        <w:rPr>
          <w:spacing w:val="-2"/>
        </w:rPr>
        <w:t>社区分布、从业分布等结构性分析，指导和协助制定人口、教育、医</w:t>
      </w:r>
      <w:r>
        <w:rPr>
          <w:spacing w:val="-2"/>
        </w:rPr>
        <w:t>疗、养老以及人才引进等方面的针对性政策，综合运用人口及流动人</w:t>
      </w:r>
      <w:r>
        <w:rPr>
          <w:spacing w:val="-2"/>
        </w:rPr>
        <w:t>口、城市规划、土地管理、房产管理、水资源管理等大数据，分析城</w:t>
      </w:r>
      <w:r>
        <w:rPr>
          <w:spacing w:val="-2"/>
        </w:rPr>
        <w:t>市的全省户籍、人口总量、人口布局、人口流动、人口迁徙、人口密度以及与城市空间、土地资源、房地产项目、水资源等的承载分析，</w:t>
      </w:r>
      <w:r>
        <w:rPr>
          <w:spacing w:val="-2"/>
        </w:rPr>
        <w:t>便于城市管理者从人口角度分析城市的承载能力，实现政府</w:t>
      </w:r>
      <w:r>
        <w:rPr>
          <w:rFonts w:ascii="Times New Roman" w:hAnsi="Times New Roman" w:eastAsia="Times New Roman"/>
          <w:spacing w:val="-2"/>
        </w:rPr>
        <w:t>“</w:t>
      </w:r>
      <w:r>
        <w:rPr>
          <w:spacing w:val="-2"/>
        </w:rPr>
        <w:t>可持续</w:t>
      </w:r>
      <w:r>
        <w:rPr>
          <w:spacing w:val="-2"/>
        </w:rPr>
        <w:t>发展</w:t>
      </w:r>
      <w:r>
        <w:rPr>
          <w:rFonts w:ascii="Times New Roman" w:hAnsi="Times New Roman" w:eastAsia="Times New Roman"/>
          <w:spacing w:val="-2"/>
        </w:rPr>
        <w:t>”</w:t>
      </w:r>
      <w:r>
        <w:rPr>
          <w:spacing w:val="-2"/>
        </w:rPr>
        <w:t>的目标，为政府政务公开、民生服务、信息惠民提供更好的大</w:t>
      </w:r>
      <w:r>
        <w:rPr>
          <w:spacing w:val="-2"/>
        </w:rPr>
        <w:t>数据支撑能力。</w:t>
      </w:r>
    </w:p>
    <w:p>
      <w:pPr>
        <w:pStyle w:val="BodyText"/>
        <w:spacing w:line="357" w:lineRule="exact"/>
        <w:ind w:left="1879"/>
        <w:rPr>
          <w:rFonts w:ascii="黑体" w:eastAsia="黑体"/>
        </w:rPr>
      </w:pPr>
      <w:r>
        <w:rPr>
          <w:rFonts w:ascii="黑体" w:eastAsia="黑体"/>
          <w:spacing w:val="-4"/>
        </w:rPr>
        <w:t>【洞察启示】</w:t>
      </w:r>
    </w:p>
    <w:p>
      <w:pPr>
        <w:pStyle w:val="BodyText"/>
        <w:spacing w:before="8"/>
        <w:rPr>
          <w:rFonts w:ascii="黑体"/>
          <w:sz w:val="20"/>
        </w:rPr>
      </w:pPr>
    </w:p>
    <w:p>
      <w:pPr>
        <w:pStyle w:val="BodyText"/>
        <w:spacing w:line="417" w:lineRule="auto" w:before="1"/>
        <w:ind w:left="1320" w:right="1315" w:firstLine="559"/>
      </w:pPr>
      <w:r>
        <w:rPr>
          <w:spacing w:val="-4"/>
        </w:rPr>
        <w:t>简单说来，基于大数据的数据资产管理具有全、广、多、快、深</w:t>
      </w:r>
      <w:r>
        <w:rPr>
          <w:spacing w:val="-2"/>
        </w:rPr>
        <w:t>的五大特点。</w:t>
      </w:r>
    </w:p>
    <w:p>
      <w:pPr>
        <w:pStyle w:val="ListParagraph"/>
        <w:numPr>
          <w:ilvl w:val="1"/>
          <w:numId w:val="28"/>
        </w:numPr>
        <w:tabs>
          <w:tab w:pos="3001" w:val="left" w:leader="none"/>
        </w:tabs>
        <w:spacing w:line="417" w:lineRule="auto" w:before="0" w:after="0"/>
        <w:ind w:left="2302" w:right="1317" w:firstLine="199"/>
        <w:jc w:val="both"/>
        <w:rPr>
          <w:sz w:val="28"/>
        </w:rPr>
      </w:pPr>
      <w:r>
        <w:rPr>
          <w:spacing w:val="-6"/>
          <w:sz w:val="28"/>
        </w:rPr>
        <w:t>全：就是指需要全面支持多种类型数据汇总，包括结构</w:t>
      </w:r>
      <w:r>
        <w:rPr>
          <w:spacing w:val="-2"/>
          <w:sz w:val="28"/>
        </w:rPr>
        <w:t>化数据和非结构化数据、实时数据和批量数据、内部和外部</w:t>
      </w:r>
      <w:r>
        <w:rPr>
          <w:spacing w:val="-4"/>
          <w:sz w:val="28"/>
        </w:rPr>
        <w:t>数据。</w:t>
      </w:r>
    </w:p>
    <w:p>
      <w:pPr>
        <w:pStyle w:val="ListParagraph"/>
        <w:numPr>
          <w:ilvl w:val="1"/>
          <w:numId w:val="28"/>
        </w:numPr>
        <w:tabs>
          <w:tab w:pos="3001" w:val="left" w:leader="none"/>
        </w:tabs>
        <w:spacing w:line="417" w:lineRule="auto" w:before="0" w:after="0"/>
        <w:ind w:left="2302" w:right="1312" w:firstLine="199"/>
        <w:jc w:val="both"/>
        <w:rPr>
          <w:sz w:val="28"/>
        </w:rPr>
      </w:pPr>
      <w:r>
        <w:rPr>
          <w:spacing w:val="-4"/>
          <w:sz w:val="28"/>
        </w:rPr>
        <w:t>广：就是需要数据范围广、应用广、效益广，因此需要</w:t>
      </w:r>
      <w:r>
        <w:rPr>
          <w:spacing w:val="-19"/>
          <w:sz w:val="28"/>
        </w:rPr>
        <w:t>打通政府各部门的数据，形成统一视图；同时创造各种惠民、</w:t>
      </w:r>
      <w:r>
        <w:rPr>
          <w:spacing w:val="-2"/>
          <w:sz w:val="28"/>
        </w:rPr>
        <w:t>兴业和善政应用，支持政务智慧管理快速、全面扩展。</w:t>
      </w:r>
    </w:p>
    <w:p>
      <w:pPr>
        <w:pStyle w:val="ListParagraph"/>
        <w:numPr>
          <w:ilvl w:val="1"/>
          <w:numId w:val="28"/>
        </w:numPr>
        <w:tabs>
          <w:tab w:pos="3001" w:val="left" w:leader="none"/>
        </w:tabs>
        <w:spacing w:line="358" w:lineRule="exact" w:before="0" w:after="0"/>
        <w:ind w:left="3000" w:right="0" w:hanging="500"/>
        <w:jc w:val="both"/>
        <w:rPr>
          <w:sz w:val="28"/>
        </w:rPr>
      </w:pPr>
      <w:r>
        <w:rPr>
          <w:spacing w:val="-23"/>
          <w:sz w:val="28"/>
        </w:rPr>
        <w:t>多：就是涉及的部门多，采集的系统多、支持的应用多、</w:t>
      </w:r>
    </w:p>
    <w:p>
      <w:pPr>
        <w:pStyle w:val="BodyText"/>
        <w:spacing w:before="4"/>
        <w:rPr>
          <w:sz w:val="22"/>
        </w:rPr>
      </w:pPr>
    </w:p>
    <w:p>
      <w:pPr>
        <w:spacing w:before="93"/>
        <w:ind w:left="1329" w:right="1325" w:firstLine="0"/>
        <w:jc w:val="center"/>
        <w:rPr>
          <w:rFonts w:ascii="Times New Roman"/>
          <w:sz w:val="18"/>
        </w:rPr>
      </w:pPr>
      <w:r>
        <w:rPr>
          <w:rFonts w:ascii="Times New Roman"/>
          <w:spacing w:val="-5"/>
          <w:sz w:val="18"/>
        </w:rPr>
        <w:t>84</w:t>
      </w:r>
    </w:p>
    <w:p>
      <w:pPr>
        <w:spacing w:after="0"/>
        <w:jc w:val="center"/>
        <w:rPr>
          <w:rFonts w:ascii="Times New Roman"/>
          <w:sz w:val="18"/>
        </w:rPr>
        <w:sectPr>
          <w:headerReference w:type="default" r:id="rId106"/>
          <w:pgSz w:w="11910" w:h="16840"/>
          <w:pgMar w:header="877" w:footer="0" w:top="1100" w:bottom="280" w:left="480" w:right="480"/>
        </w:sectPr>
      </w:pPr>
    </w:p>
    <w:p>
      <w:pPr>
        <w:pStyle w:val="BodyText"/>
        <w:rPr>
          <w:rFonts w:ascii="Times New Roman"/>
          <w:sz w:val="20"/>
        </w:rPr>
      </w:pPr>
    </w:p>
    <w:p>
      <w:pPr>
        <w:pStyle w:val="BodyText"/>
        <w:spacing w:before="225"/>
        <w:ind w:left="2302"/>
      </w:pPr>
      <w:r>
        <w:rPr>
          <w:spacing w:val="-4"/>
        </w:rPr>
        <w:t>访问的用户多。</w:t>
      </w:r>
    </w:p>
    <w:p>
      <w:pPr>
        <w:pStyle w:val="BodyText"/>
        <w:spacing w:before="8"/>
        <w:rPr>
          <w:sz w:val="20"/>
        </w:rPr>
      </w:pPr>
    </w:p>
    <w:p>
      <w:pPr>
        <w:pStyle w:val="ListParagraph"/>
        <w:numPr>
          <w:ilvl w:val="1"/>
          <w:numId w:val="28"/>
        </w:numPr>
        <w:tabs>
          <w:tab w:pos="3000" w:val="left" w:leader="none"/>
          <w:tab w:pos="3001" w:val="left" w:leader="none"/>
        </w:tabs>
        <w:spacing w:line="417" w:lineRule="auto" w:before="1" w:after="0"/>
        <w:ind w:left="2302" w:right="1177" w:firstLine="199"/>
        <w:jc w:val="left"/>
        <w:rPr>
          <w:sz w:val="28"/>
        </w:rPr>
      </w:pPr>
      <w:r>
        <w:rPr>
          <w:spacing w:val="-2"/>
          <w:sz w:val="28"/>
        </w:rPr>
        <w:t>快：就是要针对一些重要或特殊事件，需要实时监控，</w:t>
      </w:r>
      <w:r>
        <w:rPr>
          <w:spacing w:val="-2"/>
          <w:sz w:val="28"/>
        </w:rPr>
        <w:t>实现事中快速响应。</w:t>
      </w:r>
    </w:p>
    <w:p>
      <w:pPr>
        <w:pStyle w:val="ListParagraph"/>
        <w:numPr>
          <w:ilvl w:val="1"/>
          <w:numId w:val="28"/>
        </w:numPr>
        <w:tabs>
          <w:tab w:pos="3000" w:val="left" w:leader="none"/>
          <w:tab w:pos="3001" w:val="left" w:leader="none"/>
        </w:tabs>
        <w:spacing w:line="417" w:lineRule="auto" w:before="0" w:after="0"/>
        <w:ind w:left="2302" w:right="1177" w:firstLine="199"/>
        <w:jc w:val="left"/>
        <w:rPr>
          <w:sz w:val="28"/>
        </w:rPr>
      </w:pPr>
      <w:r>
        <w:rPr>
          <w:spacing w:val="-2"/>
          <w:sz w:val="28"/>
        </w:rPr>
        <w:t>深：就是要针对一些重要领域或行业，引入数据挖掘、</w:t>
      </w:r>
      <w:r>
        <w:rPr>
          <w:spacing w:val="-2"/>
          <w:sz w:val="28"/>
        </w:rPr>
        <w:t>机器学习、人工智能等前沿技术，实现事前预测，从而掌控</w:t>
      </w:r>
      <w:r>
        <w:rPr>
          <w:spacing w:val="-4"/>
          <w:sz w:val="28"/>
        </w:rPr>
        <w:t>未来。</w:t>
      </w:r>
    </w:p>
    <w:p>
      <w:pPr>
        <w:pStyle w:val="BodyText"/>
        <w:spacing w:line="417" w:lineRule="auto"/>
        <w:ind w:left="1320" w:right="1179" w:firstLine="559"/>
      </w:pPr>
      <w:r>
        <w:rPr>
          <w:spacing w:val="-2"/>
        </w:rPr>
        <w:t>大数据背景下，一方面数据资产越来越多，越来越重要，另一方</w:t>
      </w:r>
      <w:r>
        <w:rPr>
          <w:spacing w:val="-8"/>
        </w:rPr>
        <w:t>面数据资产管理将更加困难和复杂，投入也越来越大，要求企业管理</w:t>
      </w:r>
      <w:r>
        <w:rPr>
          <w:spacing w:val="-4"/>
        </w:rPr>
        <w:t>人员更加重视企业数据资产管理，更加科学地进行数据资产管理，更</w:t>
      </w:r>
      <w:r>
        <w:rPr>
          <w:spacing w:val="-9"/>
        </w:rPr>
        <w:t>加合理地规划和应用数据资产，让数据资产真正成为企业的核心竞争</w:t>
      </w:r>
      <w:r>
        <w:rPr>
          <w:spacing w:val="-19"/>
        </w:rPr>
        <w:t>力。为了更好的实现大数据背景下的数据资产管理，认为应该从集成、</w:t>
      </w:r>
      <w:r>
        <w:rPr>
          <w:spacing w:val="-2"/>
        </w:rPr>
        <w:t>治理和应用三个方面统筹考虑。数据集成是基础，数据资产管理是手</w:t>
      </w:r>
      <w:r>
        <w:rPr>
          <w:spacing w:val="-2"/>
        </w:rPr>
        <w:t>段，数据应用是目标，三者相辅相成，缺一不可。</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6"/>
        </w:rPr>
      </w:pPr>
    </w:p>
    <w:p>
      <w:pPr>
        <w:spacing w:before="93"/>
        <w:ind w:left="1329" w:right="1325" w:firstLine="0"/>
        <w:jc w:val="center"/>
        <w:rPr>
          <w:rFonts w:ascii="Times New Roman"/>
          <w:sz w:val="18"/>
        </w:rPr>
      </w:pPr>
      <w:r>
        <w:rPr>
          <w:rFonts w:ascii="Times New Roman"/>
          <w:spacing w:val="-5"/>
          <w:sz w:val="18"/>
        </w:rPr>
        <w:t>85</w:t>
      </w:r>
    </w:p>
    <w:p>
      <w:pPr>
        <w:spacing w:after="0"/>
        <w:jc w:val="center"/>
        <w:rPr>
          <w:rFonts w:ascii="Times New Roman"/>
          <w:sz w:val="18"/>
        </w:rPr>
        <w:sectPr>
          <w:headerReference w:type="default" r:id="rId107"/>
          <w:pgSz w:w="11910" w:h="16840"/>
          <w:pgMar w:header="877" w:footer="0" w:top="1100" w:bottom="280" w:left="480" w:right="480"/>
        </w:sectPr>
      </w:pPr>
    </w:p>
    <w:p>
      <w:pPr>
        <w:pStyle w:val="BodyText"/>
        <w:rPr>
          <w:rFonts w:ascii="Times New Roman"/>
          <w:sz w:val="20"/>
        </w:rPr>
      </w:pPr>
    </w:p>
    <w:p>
      <w:pPr>
        <w:pStyle w:val="Heading2"/>
      </w:pPr>
      <w:bookmarkStart w:name="_bookmark79" w:id="80"/>
      <w:bookmarkEnd w:id="80"/>
      <w:r>
        <w:rPr>
          <w:b w:val="0"/>
        </w:rPr>
      </w:r>
      <w:r>
        <w:rPr>
          <w:w w:val="95"/>
        </w:rPr>
        <w:t>（</w:t>
      </w:r>
      <w:r>
        <w:rPr>
          <w:w w:val="95"/>
        </w:rPr>
        <w:t>七</w:t>
      </w:r>
      <w:r>
        <w:rPr>
          <w:w w:val="95"/>
        </w:rPr>
        <w:t>）</w:t>
      </w:r>
      <w:r>
        <w:rPr>
          <w:w w:val="95"/>
        </w:rPr>
        <w:t>某</w:t>
      </w:r>
      <w:r>
        <w:rPr>
          <w:w w:val="95"/>
        </w:rPr>
        <w:t>大</w:t>
      </w:r>
      <w:r>
        <w:rPr>
          <w:w w:val="95"/>
        </w:rPr>
        <w:t>型</w:t>
      </w:r>
      <w:r>
        <w:rPr>
          <w:w w:val="95"/>
        </w:rPr>
        <w:t>医</w:t>
      </w:r>
      <w:r>
        <w:rPr>
          <w:w w:val="95"/>
        </w:rPr>
        <w:t>药</w:t>
      </w:r>
      <w:r>
        <w:rPr>
          <w:w w:val="95"/>
        </w:rPr>
        <w:t>公</w:t>
      </w:r>
      <w:r>
        <w:rPr>
          <w:w w:val="95"/>
        </w:rPr>
        <w:t>司</w:t>
      </w:r>
      <w:r>
        <w:rPr>
          <w:w w:val="95"/>
        </w:rPr>
        <w:t>数</w:t>
      </w:r>
      <w:r>
        <w:rPr>
          <w:w w:val="95"/>
        </w:rPr>
        <w:t>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3"/>
        </w:rPr>
        <w:t>【企业基本情况和数据情况】</w:t>
      </w:r>
    </w:p>
    <w:p>
      <w:pPr>
        <w:pStyle w:val="BodyText"/>
        <w:spacing w:before="9"/>
        <w:rPr>
          <w:rFonts w:ascii="黑体"/>
          <w:sz w:val="20"/>
        </w:rPr>
      </w:pPr>
    </w:p>
    <w:p>
      <w:pPr>
        <w:pStyle w:val="BodyText"/>
        <w:spacing w:line="417" w:lineRule="auto"/>
        <w:ind w:left="1320" w:right="1315" w:firstLine="559"/>
        <w:jc w:val="both"/>
      </w:pPr>
      <w:r>
        <w:rPr>
          <w:spacing w:val="-10"/>
        </w:rPr>
        <w:t>作为中国第八大药品分销商，分销领域的强大实力使公司服务延</w:t>
      </w:r>
      <w:r>
        <w:rPr>
          <w:spacing w:val="-10"/>
        </w:rPr>
        <w:t>伸至全国 </w:t>
      </w:r>
      <w:r>
        <w:rPr>
          <w:rFonts w:ascii="Times New Roman" w:eastAsia="Times New Roman"/>
          <w:spacing w:val="-4"/>
        </w:rPr>
        <w:t>322</w:t>
      </w:r>
      <w:r>
        <w:rPr>
          <w:rFonts w:ascii="Times New Roman" w:eastAsia="Times New Roman"/>
          <w:spacing w:val="-14"/>
        </w:rPr>
        <w:t> </w:t>
      </w:r>
      <w:r>
        <w:rPr>
          <w:spacing w:val="-4"/>
        </w:rPr>
        <w:t>个城市并覆盖当地医院、零售药店、现代通路、下级商</w:t>
      </w:r>
      <w:r>
        <w:rPr/>
        <w:t>业等各种渠道。除了经营药品</w:t>
      </w:r>
      <w:r>
        <w:rPr>
          <w:rFonts w:ascii="Times New Roman" w:eastAsia="Times New Roman"/>
        </w:rPr>
        <w:t>, </w:t>
      </w:r>
      <w:r>
        <w:rPr/>
        <w:t>还涉及医疗器械、外科手术器具、特</w:t>
      </w:r>
      <w:r>
        <w:rPr>
          <w:spacing w:val="-4"/>
        </w:rPr>
        <w:t>质药品、疫苗、诊断产品和个人保健产品的分销以及配送。其中进口</w:t>
      </w:r>
      <w:r>
        <w:rPr>
          <w:spacing w:val="-7"/>
        </w:rPr>
        <w:t>产品和本地产品各占据公司业务量的一半，服务不同跨国企业使该企</w:t>
      </w:r>
      <w:r>
        <w:rPr>
          <w:spacing w:val="-3"/>
        </w:rPr>
        <w:t>业成为中国最大的医疗产品进口商。拥有近 </w:t>
      </w:r>
      <w:r>
        <w:rPr>
          <w:rFonts w:ascii="Times New Roman" w:eastAsia="Times New Roman"/>
        </w:rPr>
        <w:t>2300</w:t>
      </w:r>
      <w:r>
        <w:rPr>
          <w:rFonts w:ascii="Times New Roman" w:eastAsia="Times New Roman"/>
          <w:spacing w:val="-8"/>
        </w:rPr>
        <w:t> </w:t>
      </w:r>
      <w:r>
        <w:rPr>
          <w:spacing w:val="-2"/>
        </w:rPr>
        <w:t>名员工，成功搭建</w:t>
      </w:r>
    </w:p>
    <w:p>
      <w:pPr>
        <w:pStyle w:val="BodyText"/>
        <w:spacing w:line="358" w:lineRule="exact"/>
        <w:ind w:left="1320"/>
        <w:jc w:val="both"/>
      </w:pPr>
      <w:r>
        <w:rPr>
          <w:spacing w:val="-16"/>
        </w:rPr>
        <w:t>了由 </w:t>
      </w:r>
      <w:r>
        <w:rPr>
          <w:rFonts w:ascii="Times New Roman" w:eastAsia="Times New Roman"/>
        </w:rPr>
        <w:t>15</w:t>
      </w:r>
      <w:r>
        <w:rPr>
          <w:rFonts w:ascii="Times New Roman" w:eastAsia="Times New Roman"/>
          <w:spacing w:val="-7"/>
        </w:rPr>
        <w:t> </w:t>
      </w:r>
      <w:r>
        <w:rPr>
          <w:spacing w:val="-1"/>
        </w:rPr>
        <w:t>个物流中心所组成的全国分销平台，在上海、北京、沈阳、</w:t>
      </w:r>
    </w:p>
    <w:p>
      <w:pPr>
        <w:pStyle w:val="BodyText"/>
        <w:spacing w:line="417" w:lineRule="auto" w:before="265"/>
        <w:ind w:left="1320" w:right="1316"/>
        <w:jc w:val="both"/>
      </w:pPr>
      <w:r>
        <w:rPr>
          <w:spacing w:val="-2"/>
        </w:rPr>
        <w:t>大连、无锡、宁波、深圳、成都、重庆、武汉和天津的 </w:t>
      </w:r>
      <w:r>
        <w:rPr>
          <w:rFonts w:ascii="Times New Roman" w:eastAsia="Times New Roman"/>
        </w:rPr>
        <w:t>11</w:t>
      </w:r>
      <w:r>
        <w:rPr>
          <w:rFonts w:ascii="Times New Roman" w:eastAsia="Times New Roman"/>
          <w:spacing w:val="-18"/>
        </w:rPr>
        <w:t> </w:t>
      </w:r>
      <w:r>
        <w:rPr/>
        <w:t>个主要城</w:t>
      </w:r>
      <w:r>
        <w:rPr>
          <w:spacing w:val="-2"/>
        </w:rPr>
        <w:t>市开展本地直销业务。</w:t>
      </w:r>
    </w:p>
    <w:p>
      <w:pPr>
        <w:pStyle w:val="BodyText"/>
        <w:spacing w:line="358" w:lineRule="exact"/>
        <w:ind w:left="1879"/>
        <w:rPr>
          <w:rFonts w:ascii="黑体" w:eastAsia="黑体"/>
        </w:rPr>
      </w:pPr>
      <w:r>
        <w:rPr>
          <w:rFonts w:ascii="黑体" w:eastAsia="黑体"/>
          <w:spacing w:val="-4"/>
        </w:rPr>
        <w:t>【痛点和难点】</w:t>
      </w:r>
    </w:p>
    <w:p>
      <w:pPr>
        <w:pStyle w:val="BodyText"/>
        <w:spacing w:before="9"/>
        <w:rPr>
          <w:rFonts w:ascii="黑体"/>
          <w:sz w:val="20"/>
        </w:rPr>
      </w:pPr>
    </w:p>
    <w:p>
      <w:pPr>
        <w:pStyle w:val="BodyText"/>
        <w:spacing w:line="417" w:lineRule="auto"/>
        <w:ind w:left="1320" w:right="1176" w:firstLine="559"/>
      </w:pPr>
      <w:r>
        <w:rPr>
          <w:spacing w:val="-8"/>
        </w:rPr>
        <w:t>现有的业务数据系统架构已经近十年，无法适应新时期下的数据</w:t>
      </w:r>
      <w:r>
        <w:rPr>
          <w:spacing w:val="-19"/>
        </w:rPr>
        <w:t>增长、管理与使用的需要，管理人员对数据流程监督和管控并不完善，</w:t>
      </w:r>
      <w:r>
        <w:rPr>
          <w:spacing w:val="-2"/>
        </w:rPr>
        <w:t>对于现有的业务系统，其扩展性、可靠性、运维、性能都将面临较大</w:t>
      </w:r>
      <w:r>
        <w:rPr>
          <w:spacing w:val="-4"/>
        </w:rPr>
        <w:t>的挑战。</w:t>
      </w:r>
    </w:p>
    <w:p>
      <w:pPr>
        <w:pStyle w:val="BodyText"/>
        <w:spacing w:line="417" w:lineRule="auto"/>
        <w:ind w:left="1320" w:right="1040" w:firstLine="559"/>
      </w:pPr>
      <w:r>
        <w:rPr>
          <w:spacing w:val="-8"/>
        </w:rPr>
        <w:t>现阶段业务处理对于人力的依赖过大，导致团队人员及开支庞大，</w:t>
      </w:r>
      <w:r>
        <w:rPr>
          <w:spacing w:val="-4"/>
        </w:rPr>
        <w:t>现有的业务团队已经满负荷运转，已经成为制约业务发展的瓶颈。集</w:t>
      </w:r>
      <w:r>
        <w:rPr>
          <w:spacing w:val="-2"/>
        </w:rPr>
        <w:t> </w:t>
      </w:r>
      <w:r>
        <w:rPr/>
        <w:t>团自身还有渠道数据的管理服务，面向自身与分销商。原有 </w:t>
      </w:r>
      <w:r>
        <w:rPr>
          <w:rFonts w:ascii="Times New Roman" w:eastAsia="Times New Roman"/>
        </w:rPr>
        <w:t>IT</w:t>
      </w:r>
      <w:r>
        <w:rPr>
          <w:rFonts w:ascii="Times New Roman" w:eastAsia="Times New Roman"/>
          <w:spacing w:val="27"/>
        </w:rPr>
        <w:t> </w:t>
      </w:r>
      <w:r>
        <w:rPr/>
        <w:t>平台 </w:t>
      </w:r>
      <w:r>
        <w:rPr>
          <w:spacing w:val="-10"/>
        </w:rPr>
        <w:t>数据处理能力无法满足需求，数据质量检查与业务基线查询自动化程</w:t>
      </w:r>
      <w:r>
        <w:rPr>
          <w:spacing w:val="-2"/>
        </w:rPr>
        <w:t> </w:t>
      </w:r>
      <w:r>
        <w:rPr>
          <w:spacing w:val="-2"/>
        </w:rPr>
        <w:t>度低业务流程中间环节比较机械固化，关键环节数据清洗量大，数据 </w:t>
      </w:r>
      <w:r>
        <w:rPr/>
        <w:t>整合的过程中还需要数据清理，</w:t>
      </w:r>
      <w:r>
        <w:rPr>
          <w:rFonts w:ascii="Times New Roman" w:eastAsia="Times New Roman"/>
        </w:rPr>
        <w:t>ETL </w:t>
      </w:r>
      <w:r>
        <w:rPr>
          <w:spacing w:val="-6"/>
        </w:rPr>
        <w:t>过程占用了大量的人力，在主数</w:t>
      </w:r>
    </w:p>
    <w:p>
      <w:pPr>
        <w:spacing w:before="53"/>
        <w:ind w:left="1329" w:right="1325" w:firstLine="0"/>
        <w:jc w:val="center"/>
        <w:rPr>
          <w:rFonts w:ascii="Times New Roman"/>
          <w:sz w:val="18"/>
        </w:rPr>
      </w:pPr>
      <w:r>
        <w:rPr>
          <w:rFonts w:ascii="Times New Roman"/>
          <w:spacing w:val="-5"/>
          <w:sz w:val="18"/>
        </w:rPr>
        <w:t>86</w:t>
      </w:r>
    </w:p>
    <w:p>
      <w:pPr>
        <w:spacing w:after="0"/>
        <w:jc w:val="center"/>
        <w:rPr>
          <w:rFonts w:ascii="Times New Roman"/>
          <w:sz w:val="18"/>
        </w:rPr>
        <w:sectPr>
          <w:headerReference w:type="default" r:id="rId108"/>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1"/>
      </w:pPr>
      <w:r>
        <w:rPr>
          <w:spacing w:val="-7"/>
        </w:rPr>
        <w:t>据清洗，质量检验分发，目前 </w:t>
      </w:r>
      <w:r>
        <w:rPr>
          <w:rFonts w:ascii="Times New Roman" w:eastAsia="Times New Roman"/>
          <w:spacing w:val="-2"/>
        </w:rPr>
        <w:t>200</w:t>
      </w:r>
      <w:r>
        <w:rPr>
          <w:rFonts w:ascii="Times New Roman" w:eastAsia="Times New Roman"/>
          <w:spacing w:val="-16"/>
        </w:rPr>
        <w:t> </w:t>
      </w:r>
      <w:r>
        <w:rPr>
          <w:spacing w:val="-10"/>
        </w:rPr>
        <w:t>多人工团队，每月 </w:t>
      </w:r>
      <w:r>
        <w:rPr>
          <w:rFonts w:ascii="Times New Roman" w:eastAsia="Times New Roman"/>
          <w:spacing w:val="-2"/>
        </w:rPr>
        <w:t>500</w:t>
      </w:r>
      <w:r>
        <w:rPr>
          <w:rFonts w:ascii="Times New Roman" w:eastAsia="Times New Roman"/>
          <w:spacing w:val="-15"/>
        </w:rPr>
        <w:t> </w:t>
      </w:r>
      <w:r>
        <w:rPr>
          <w:spacing w:val="-2"/>
        </w:rPr>
        <w:t>多万条。数</w:t>
      </w:r>
      <w:r>
        <w:rPr>
          <w:spacing w:val="-2"/>
        </w:rPr>
        <w:t>据处理人员工作负荷高，数据处理效率已经成为业务扩展的瓶颈。</w:t>
      </w:r>
    </w:p>
    <w:p>
      <w:pPr>
        <w:pStyle w:val="BodyText"/>
        <w:spacing w:line="358" w:lineRule="exact"/>
        <w:ind w:left="1879"/>
        <w:rPr>
          <w:rFonts w:ascii="黑体" w:eastAsia="黑体"/>
        </w:rPr>
      </w:pPr>
      <w:r>
        <w:rPr>
          <w:rFonts w:ascii="黑体" w:eastAsia="黑体"/>
          <w:spacing w:val="-4"/>
        </w:rPr>
        <w:t>【实践路径】</w:t>
      </w:r>
    </w:p>
    <w:p>
      <w:pPr>
        <w:pStyle w:val="BodyText"/>
        <w:spacing w:before="8"/>
        <w:rPr>
          <w:rFonts w:ascii="黑体"/>
          <w:sz w:val="20"/>
        </w:rPr>
      </w:pPr>
    </w:p>
    <w:p>
      <w:pPr>
        <w:pStyle w:val="BodyText"/>
        <w:spacing w:line="417" w:lineRule="auto" w:before="1"/>
        <w:ind w:left="1320" w:right="1179" w:firstLine="559"/>
        <w:rPr>
          <w:rFonts w:ascii="黑体" w:eastAsia="黑体"/>
        </w:rPr>
      </w:pPr>
      <w:r>
        <w:rPr>
          <w:rFonts w:ascii="黑体" w:eastAsia="黑体"/>
          <w:spacing w:val="-2"/>
        </w:rPr>
        <w:t>新时期下的新技术、新方式，都无法使用传统的模式进行管控，</w:t>
      </w:r>
      <w:r>
        <w:rPr>
          <w:rFonts w:ascii="黑体" w:eastAsia="黑体"/>
          <w:spacing w:val="11"/>
        </w:rPr>
        <w:t>所以需要使用</w:t>
      </w:r>
      <w:r>
        <w:rPr>
          <w:rFonts w:ascii="Times New Roman" w:eastAsia="Times New Roman"/>
        </w:rPr>
        <w:t>New IT </w:t>
      </w:r>
      <w:r>
        <w:rPr>
          <w:rFonts w:ascii="黑体" w:eastAsia="黑体"/>
        </w:rPr>
        <w:t>的思路进行重构业务系统架构：</w:t>
      </w:r>
    </w:p>
    <w:p>
      <w:pPr>
        <w:pStyle w:val="Heading3"/>
        <w:numPr>
          <w:ilvl w:val="0"/>
          <w:numId w:val="29"/>
        </w:numPr>
        <w:tabs>
          <w:tab w:pos="2203" w:val="left" w:leader="none"/>
        </w:tabs>
        <w:spacing w:line="382" w:lineRule="exact" w:before="0" w:after="0"/>
        <w:ind w:left="2202" w:right="0" w:hanging="242"/>
        <w:jc w:val="left"/>
      </w:pPr>
      <w:r>
        <w:rPr>
          <w:w w:val="95"/>
        </w:rPr>
        <w:t>云</w:t>
      </w:r>
      <w:r>
        <w:rPr>
          <w:w w:val="95"/>
        </w:rPr>
        <w:t>计</w:t>
      </w:r>
      <w:r>
        <w:rPr>
          <w:w w:val="95"/>
        </w:rPr>
        <w:t>算</w:t>
      </w:r>
      <w:r>
        <w:rPr>
          <w:spacing w:val="-5"/>
          <w:w w:val="95"/>
        </w:rPr>
        <w:t>层：</w:t>
      </w:r>
    </w:p>
    <w:p>
      <w:pPr>
        <w:pStyle w:val="BodyText"/>
        <w:spacing w:line="417" w:lineRule="auto" w:before="242"/>
        <w:ind w:left="1320" w:right="1316" w:firstLine="559"/>
      </w:pPr>
      <w:r>
        <w:rPr>
          <w:spacing w:val="-4"/>
        </w:rPr>
        <w:t>从运行环境、弹性计算、资源扩展等多方面考虑协助企业选型与</w:t>
      </w:r>
      <w:r>
        <w:rPr>
          <w:spacing w:val="-4"/>
        </w:rPr>
        <w:t>设计。</w:t>
      </w:r>
    </w:p>
    <w:p>
      <w:pPr>
        <w:pStyle w:val="Heading3"/>
        <w:numPr>
          <w:ilvl w:val="0"/>
          <w:numId w:val="29"/>
        </w:numPr>
        <w:tabs>
          <w:tab w:pos="2203" w:val="left" w:leader="none"/>
        </w:tabs>
        <w:spacing w:line="382" w:lineRule="exact" w:before="0" w:after="0"/>
        <w:ind w:left="2202" w:right="0" w:hanging="242"/>
        <w:jc w:val="left"/>
      </w:pPr>
      <w:r>
        <w:rPr>
          <w:w w:val="95"/>
        </w:rPr>
        <w:t>数</w:t>
      </w:r>
      <w:r>
        <w:rPr>
          <w:w w:val="95"/>
        </w:rPr>
        <w:t>据</w:t>
      </w:r>
      <w:r>
        <w:rPr>
          <w:w w:val="95"/>
        </w:rPr>
        <w:t>平</w:t>
      </w:r>
      <w:r>
        <w:rPr>
          <w:w w:val="95"/>
        </w:rPr>
        <w:t>台</w:t>
      </w:r>
      <w:r>
        <w:rPr>
          <w:w w:val="95"/>
        </w:rPr>
        <w:t>层</w:t>
      </w:r>
      <w:r>
        <w:rPr>
          <w:w w:val="95"/>
        </w:rPr>
        <w:t>建</w:t>
      </w:r>
      <w:r>
        <w:rPr>
          <w:spacing w:val="-5"/>
          <w:w w:val="95"/>
        </w:rPr>
        <w:t>设：</w:t>
      </w:r>
    </w:p>
    <w:p>
      <w:pPr>
        <w:pStyle w:val="BodyText"/>
        <w:spacing w:before="242"/>
        <w:ind w:left="1879"/>
      </w:pPr>
      <w:r>
        <w:rPr>
          <w:spacing w:val="-20"/>
        </w:rPr>
        <w:t>采用 </w:t>
      </w:r>
      <w:r>
        <w:rPr>
          <w:rFonts w:ascii="Times New Roman" w:eastAsia="Times New Roman"/>
          <w:spacing w:val="-2"/>
        </w:rPr>
        <w:t>LEAP</w:t>
      </w:r>
      <w:r>
        <w:rPr>
          <w:rFonts w:ascii="Times New Roman" w:eastAsia="Times New Roman"/>
          <w:spacing w:val="11"/>
        </w:rPr>
        <w:t> </w:t>
      </w:r>
      <w:r>
        <w:rPr>
          <w:spacing w:val="-3"/>
        </w:rPr>
        <w:t>智能平台，解决数据的采集、存贮、计算与管理：</w:t>
      </w:r>
    </w:p>
    <w:p>
      <w:pPr>
        <w:pStyle w:val="ListParagraph"/>
        <w:numPr>
          <w:ilvl w:val="0"/>
          <w:numId w:val="30"/>
        </w:numPr>
        <w:tabs>
          <w:tab w:pos="2161" w:val="left" w:leader="none"/>
        </w:tabs>
        <w:spacing w:line="240" w:lineRule="auto" w:before="265" w:after="0"/>
        <w:ind w:left="2160" w:right="0" w:hanging="282"/>
        <w:jc w:val="left"/>
        <w:rPr>
          <w:sz w:val="28"/>
        </w:rPr>
      </w:pPr>
      <w:r>
        <w:rPr>
          <w:spacing w:val="-3"/>
          <w:sz w:val="28"/>
        </w:rPr>
        <w:t>海量数据存储与大规模并行计算；</w:t>
      </w:r>
    </w:p>
    <w:p>
      <w:pPr>
        <w:pStyle w:val="ListParagraph"/>
        <w:numPr>
          <w:ilvl w:val="0"/>
          <w:numId w:val="30"/>
        </w:numPr>
        <w:tabs>
          <w:tab w:pos="2161" w:val="left" w:leader="none"/>
        </w:tabs>
        <w:spacing w:line="240" w:lineRule="auto" w:before="266" w:after="0"/>
        <w:ind w:left="2160" w:right="0" w:hanging="282"/>
        <w:jc w:val="left"/>
        <w:rPr>
          <w:sz w:val="28"/>
        </w:rPr>
      </w:pPr>
      <w:r>
        <w:rPr>
          <w:spacing w:val="-3"/>
          <w:sz w:val="28"/>
        </w:rPr>
        <w:t>全程的元数据管理与主数据管理；</w:t>
      </w:r>
    </w:p>
    <w:p>
      <w:pPr>
        <w:pStyle w:val="ListParagraph"/>
        <w:numPr>
          <w:ilvl w:val="0"/>
          <w:numId w:val="30"/>
        </w:numPr>
        <w:tabs>
          <w:tab w:pos="2161" w:val="left" w:leader="none"/>
        </w:tabs>
        <w:spacing w:line="240" w:lineRule="auto" w:before="265" w:after="0"/>
        <w:ind w:left="2160" w:right="0" w:hanging="282"/>
        <w:jc w:val="left"/>
        <w:rPr>
          <w:sz w:val="28"/>
        </w:rPr>
      </w:pPr>
      <w:r>
        <w:rPr>
          <w:spacing w:val="-3"/>
          <w:sz w:val="28"/>
        </w:rPr>
        <w:t>数据集成、处理的自动化、流程化；</w:t>
      </w:r>
    </w:p>
    <w:p>
      <w:pPr>
        <w:pStyle w:val="ListParagraph"/>
        <w:numPr>
          <w:ilvl w:val="0"/>
          <w:numId w:val="30"/>
        </w:numPr>
        <w:tabs>
          <w:tab w:pos="2161" w:val="left" w:leader="none"/>
        </w:tabs>
        <w:spacing w:line="240" w:lineRule="auto" w:before="266" w:after="0"/>
        <w:ind w:left="2160" w:right="0" w:hanging="282"/>
        <w:jc w:val="left"/>
        <w:rPr>
          <w:sz w:val="28"/>
        </w:rPr>
      </w:pPr>
      <w:r>
        <w:rPr>
          <w:spacing w:val="-3"/>
          <w:sz w:val="28"/>
        </w:rPr>
        <w:t>全程的监控、分析、预警；</w:t>
      </w:r>
    </w:p>
    <w:p>
      <w:pPr>
        <w:pStyle w:val="ListParagraph"/>
        <w:numPr>
          <w:ilvl w:val="0"/>
          <w:numId w:val="30"/>
        </w:numPr>
        <w:tabs>
          <w:tab w:pos="2161" w:val="left" w:leader="none"/>
        </w:tabs>
        <w:spacing w:line="240" w:lineRule="auto" w:before="265" w:after="0"/>
        <w:ind w:left="2160" w:right="0" w:hanging="282"/>
        <w:jc w:val="left"/>
        <w:rPr>
          <w:sz w:val="28"/>
        </w:rPr>
      </w:pPr>
      <w:r>
        <w:rPr>
          <w:spacing w:val="-4"/>
          <w:sz w:val="28"/>
        </w:rPr>
        <w:t>数据模型重构</w:t>
      </w:r>
    </w:p>
    <w:p>
      <w:pPr>
        <w:pStyle w:val="Heading3"/>
        <w:numPr>
          <w:ilvl w:val="0"/>
          <w:numId w:val="29"/>
        </w:numPr>
        <w:tabs>
          <w:tab w:pos="2203" w:val="left" w:leader="none"/>
        </w:tabs>
        <w:spacing w:line="240" w:lineRule="auto" w:before="237" w:after="0"/>
        <w:ind w:left="2202" w:right="0" w:hanging="242"/>
        <w:jc w:val="left"/>
      </w:pPr>
      <w:r>
        <w:rPr>
          <w:rFonts w:ascii="Times New Roman" w:eastAsia="Times New Roman"/>
        </w:rPr>
        <w:t>AI</w:t>
      </w:r>
      <w:r>
        <w:rPr>
          <w:rFonts w:ascii="Times New Roman" w:eastAsia="Times New Roman"/>
          <w:spacing w:val="-12"/>
        </w:rPr>
        <w:t> </w:t>
      </w:r>
      <w:r>
        <w:rPr/>
        <w:t>层建</w:t>
      </w:r>
      <w:r>
        <w:rPr/>
        <w:t>设</w:t>
      </w:r>
      <w:r>
        <w:rPr>
          <w:spacing w:val="-10"/>
        </w:rPr>
        <w:t>：</w:t>
      </w:r>
    </w:p>
    <w:p>
      <w:pPr>
        <w:pStyle w:val="BodyText"/>
        <w:spacing w:before="242"/>
        <w:ind w:left="1879"/>
      </w:pPr>
      <w:r>
        <w:rPr>
          <w:rFonts w:ascii="Times New Roman" w:eastAsia="Times New Roman"/>
        </w:rPr>
        <w:t>AI</w:t>
      </w:r>
      <w:r>
        <w:rPr>
          <w:rFonts w:ascii="Times New Roman" w:eastAsia="Times New Roman"/>
          <w:spacing w:val="-9"/>
        </w:rPr>
        <w:t> </w:t>
      </w:r>
      <w:r>
        <w:rPr/>
        <w:t>算法</w:t>
      </w:r>
      <w:r>
        <w:rPr>
          <w:rFonts w:ascii="Times New Roman" w:eastAsia="Times New Roman"/>
        </w:rPr>
        <w:t>+</w:t>
      </w:r>
      <w:r>
        <w:rPr>
          <w:spacing w:val="-3"/>
        </w:rPr>
        <w:t>互联网大数据 实现数据管理过程自动化</w:t>
      </w:r>
      <w:r>
        <w:rPr>
          <w:rFonts w:ascii="Times New Roman" w:eastAsia="Times New Roman"/>
        </w:rPr>
        <w:t>+</w:t>
      </w:r>
      <w:r>
        <w:rPr>
          <w:spacing w:val="-3"/>
        </w:rPr>
        <w:t>智能化；</w:t>
      </w:r>
    </w:p>
    <w:p>
      <w:pPr>
        <w:pStyle w:val="ListParagraph"/>
        <w:numPr>
          <w:ilvl w:val="0"/>
          <w:numId w:val="30"/>
        </w:numPr>
        <w:tabs>
          <w:tab w:pos="2161" w:val="left" w:leader="none"/>
        </w:tabs>
        <w:spacing w:line="240" w:lineRule="auto" w:before="265" w:after="0"/>
        <w:ind w:left="2160" w:right="0" w:hanging="282"/>
        <w:jc w:val="left"/>
        <w:rPr>
          <w:sz w:val="28"/>
        </w:rPr>
      </w:pPr>
      <w:r>
        <w:rPr>
          <w:rFonts w:ascii="Times New Roman" w:hAnsi="Times New Roman" w:eastAsia="Times New Roman"/>
          <w:sz w:val="28"/>
        </w:rPr>
        <w:t>AI</w:t>
      </w:r>
      <w:r>
        <w:rPr>
          <w:rFonts w:ascii="Times New Roman" w:hAnsi="Times New Roman" w:eastAsia="Times New Roman"/>
          <w:spacing w:val="-14"/>
          <w:sz w:val="28"/>
        </w:rPr>
        <w:t> </w:t>
      </w:r>
      <w:r>
        <w:rPr>
          <w:spacing w:val="-1"/>
          <w:sz w:val="28"/>
        </w:rPr>
        <w:t>助力数据处理自动化、机器化；</w:t>
      </w:r>
    </w:p>
    <w:p>
      <w:pPr>
        <w:pStyle w:val="ListParagraph"/>
        <w:numPr>
          <w:ilvl w:val="0"/>
          <w:numId w:val="30"/>
        </w:numPr>
        <w:tabs>
          <w:tab w:pos="2161" w:val="left" w:leader="none"/>
        </w:tabs>
        <w:spacing w:line="240" w:lineRule="auto" w:before="266" w:after="0"/>
        <w:ind w:left="2160" w:right="0" w:hanging="282"/>
        <w:jc w:val="left"/>
        <w:rPr>
          <w:sz w:val="28"/>
        </w:rPr>
      </w:pPr>
      <w:r>
        <w:rPr>
          <w:spacing w:val="-4"/>
          <w:sz w:val="28"/>
        </w:rPr>
        <w:t>业务流程优化</w:t>
      </w:r>
    </w:p>
    <w:p>
      <w:pPr>
        <w:pStyle w:val="ListParagraph"/>
        <w:numPr>
          <w:ilvl w:val="0"/>
          <w:numId w:val="30"/>
        </w:numPr>
        <w:tabs>
          <w:tab w:pos="2161" w:val="left" w:leader="none"/>
        </w:tabs>
        <w:spacing w:line="240" w:lineRule="auto" w:before="265" w:after="0"/>
        <w:ind w:left="2160" w:right="0" w:hanging="282"/>
        <w:jc w:val="left"/>
        <w:rPr>
          <w:sz w:val="28"/>
        </w:rPr>
      </w:pPr>
      <w:r>
        <w:rPr>
          <w:spacing w:val="-3"/>
          <w:sz w:val="28"/>
        </w:rPr>
        <w:t>业务运营门户服务建设</w:t>
      </w:r>
    </w:p>
    <w:p>
      <w:pPr>
        <w:pStyle w:val="Heading3"/>
        <w:numPr>
          <w:ilvl w:val="0"/>
          <w:numId w:val="29"/>
        </w:numPr>
        <w:tabs>
          <w:tab w:pos="2203" w:val="left" w:leader="none"/>
        </w:tabs>
        <w:spacing w:line="240" w:lineRule="auto" w:before="238" w:after="0"/>
        <w:ind w:left="2202" w:right="0" w:hanging="242"/>
        <w:jc w:val="left"/>
      </w:pPr>
      <w:r>
        <w:rPr>
          <w:w w:val="95"/>
        </w:rPr>
        <w:t>业</w:t>
      </w:r>
      <w:r>
        <w:rPr>
          <w:w w:val="95"/>
        </w:rPr>
        <w:t>务</w:t>
      </w:r>
      <w:r>
        <w:rPr>
          <w:w w:val="95"/>
        </w:rPr>
        <w:t>建</w:t>
      </w:r>
      <w:r>
        <w:rPr>
          <w:spacing w:val="-5"/>
          <w:w w:val="95"/>
        </w:rPr>
        <w:t>设：</w:t>
      </w:r>
    </w:p>
    <w:p>
      <w:pPr>
        <w:pStyle w:val="BodyText"/>
        <w:spacing w:before="242"/>
        <w:ind w:left="1879"/>
      </w:pPr>
      <w:r>
        <w:rPr>
          <w:spacing w:val="-12"/>
        </w:rPr>
        <w:t>业务流程重构，为整个业务流程处理争取最大灵活性和时间缓冲。</w:t>
      </w:r>
    </w:p>
    <w:p>
      <w:pPr>
        <w:pStyle w:val="BodyText"/>
        <w:rPr>
          <w:sz w:val="20"/>
        </w:rPr>
      </w:pPr>
    </w:p>
    <w:p>
      <w:pPr>
        <w:pStyle w:val="BodyText"/>
        <w:spacing w:before="5"/>
        <w:rPr>
          <w:sz w:val="19"/>
        </w:rPr>
      </w:pPr>
    </w:p>
    <w:p>
      <w:pPr>
        <w:spacing w:before="93"/>
        <w:ind w:left="1329" w:right="1325" w:firstLine="0"/>
        <w:jc w:val="center"/>
        <w:rPr>
          <w:rFonts w:ascii="Times New Roman"/>
          <w:sz w:val="18"/>
        </w:rPr>
      </w:pPr>
      <w:r>
        <w:rPr>
          <w:rFonts w:ascii="Times New Roman"/>
          <w:spacing w:val="-5"/>
          <w:sz w:val="18"/>
        </w:rPr>
        <w:t>87</w:t>
      </w:r>
    </w:p>
    <w:p>
      <w:pPr>
        <w:spacing w:after="0"/>
        <w:jc w:val="center"/>
        <w:rPr>
          <w:rFonts w:ascii="Times New Roman"/>
          <w:sz w:val="18"/>
        </w:rPr>
        <w:sectPr>
          <w:headerReference w:type="default" r:id="rId109"/>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firstLine="559"/>
        <w:rPr>
          <w:rFonts w:ascii="黑体" w:eastAsia="黑体"/>
        </w:rPr>
      </w:pPr>
      <w:r>
        <w:rPr>
          <w:rFonts w:ascii="黑体" w:eastAsia="黑体"/>
          <w:spacing w:val="-4"/>
        </w:rPr>
        <w:t>更新数据管控理念，在传统管控基础上引入新技术与新方法，使</w:t>
      </w:r>
      <w:r>
        <w:rPr>
          <w:rFonts w:ascii="黑体" w:eastAsia="黑体"/>
          <w:spacing w:val="-2"/>
        </w:rPr>
        <w:t>数据管理受惠于技术的发展：</w:t>
      </w:r>
    </w:p>
    <w:p>
      <w:pPr>
        <w:pStyle w:val="BodyText"/>
        <w:spacing w:line="417" w:lineRule="auto"/>
        <w:ind w:left="1320" w:right="1318" w:firstLine="559"/>
        <w:jc w:val="both"/>
      </w:pPr>
      <w:r>
        <w:rPr>
          <w:spacing w:val="-4"/>
        </w:rPr>
        <w:t>对于数据资产管理职能领域的数据标准管理、主数据管理、数据</w:t>
      </w:r>
      <w:r>
        <w:rPr>
          <w:spacing w:val="-4"/>
        </w:rPr>
        <w:t>质量管理，在传统的数据处理基础上引入人工智能的，代替人手，在</w:t>
      </w:r>
      <w:r>
        <w:rPr>
          <w:spacing w:val="-2"/>
        </w:rPr>
        <w:t>提升效率，准确度的基础上更节省了人手，大幅降低人力成本：</w:t>
      </w:r>
    </w:p>
    <w:p>
      <w:pPr>
        <w:pStyle w:val="BodyText"/>
        <w:spacing w:line="417" w:lineRule="auto"/>
        <w:ind w:left="1320" w:right="1177" w:firstLine="559"/>
      </w:pPr>
      <w:r>
        <w:rPr>
          <w:spacing w:val="-1"/>
          <w:w w:val="100"/>
        </w:rPr>
        <w:t>主数据扩展；定向爬取相关网站数据，形成原始互联网实体库；</w:t>
      </w:r>
      <w:r>
        <w:rPr>
          <w:spacing w:val="-26"/>
          <w:w w:val="100"/>
        </w:rPr>
        <w:t>实体对齐：</w:t>
      </w:r>
      <w:r>
        <w:rPr>
          <w:spacing w:val="2"/>
          <w:w w:val="100"/>
        </w:rPr>
        <w:t>（</w:t>
      </w:r>
      <w:r>
        <w:rPr>
          <w:spacing w:val="3"/>
          <w:w w:val="100"/>
        </w:rPr>
        <w:t>存在很多</w:t>
      </w:r>
      <w:r>
        <w:rPr>
          <w:rFonts w:ascii="Times New Roman" w:hAnsi="Times New Roman" w:eastAsia="Times New Roman"/>
          <w:spacing w:val="-3"/>
          <w:w w:val="100"/>
        </w:rPr>
        <w:t>“</w:t>
      </w:r>
      <w:r>
        <w:rPr>
          <w:spacing w:val="2"/>
          <w:w w:val="100"/>
        </w:rPr>
        <w:t>一个实体有多个别名</w:t>
      </w:r>
      <w:r>
        <w:rPr>
          <w:rFonts w:ascii="Times New Roman" w:hAnsi="Times New Roman" w:eastAsia="Times New Roman"/>
          <w:spacing w:val="2"/>
          <w:w w:val="100"/>
        </w:rPr>
        <w:t>”</w:t>
      </w:r>
      <w:r>
        <w:rPr>
          <w:spacing w:val="4"/>
          <w:w w:val="100"/>
        </w:rPr>
        <w:t>、</w:t>
      </w:r>
      <w:r>
        <w:rPr>
          <w:rFonts w:ascii="Times New Roman" w:hAnsi="Times New Roman" w:eastAsia="Times New Roman"/>
          <w:spacing w:val="-3"/>
          <w:w w:val="100"/>
        </w:rPr>
        <w:t>“</w:t>
      </w:r>
      <w:r>
        <w:rPr>
          <w:spacing w:val="2"/>
          <w:w w:val="100"/>
        </w:rPr>
        <w:t>不同实体名称相同</w:t>
      </w:r>
      <w:r>
        <w:rPr>
          <w:rFonts w:ascii="Times New Roman" w:hAnsi="Times New Roman" w:eastAsia="Times New Roman"/>
          <w:w w:val="100"/>
        </w:rPr>
        <w:t>”</w:t>
      </w:r>
      <w:r>
        <w:rPr>
          <w:w w:val="100"/>
        </w:rPr>
        <w:t>的情况</w:t>
      </w:r>
      <w:r>
        <w:rPr>
          <w:spacing w:val="-4"/>
        </w:rPr>
        <w:t> </w:t>
      </w:r>
      <w:r>
        <w:rPr>
          <w:spacing w:val="-140"/>
          <w:w w:val="100"/>
        </w:rPr>
        <w:t>）</w:t>
      </w:r>
      <w:r>
        <w:rPr>
          <w:spacing w:val="-11"/>
          <w:w w:val="100"/>
        </w:rPr>
        <w:t>；扩展主数据：用互联网实体属性去修正、补充主数据库实体。</w:t>
      </w:r>
    </w:p>
    <w:p>
      <w:pPr>
        <w:pStyle w:val="BodyText"/>
        <w:spacing w:line="417" w:lineRule="auto"/>
        <w:ind w:left="1320" w:right="1179" w:firstLine="559"/>
      </w:pPr>
      <w:r>
        <w:rPr>
          <w:spacing w:val="-18"/>
        </w:rPr>
        <w:t>数据格式自动识别与规范化；异构数据接入、归一化相似度处理、</w:t>
      </w:r>
      <w:r>
        <w:rPr>
          <w:spacing w:val="-2"/>
        </w:rPr>
        <w:t>连接性处理这些都用到了</w:t>
      </w:r>
      <w:r>
        <w:rPr>
          <w:rFonts w:ascii="Times New Roman" w:hAnsi="Times New Roman" w:eastAsia="Times New Roman"/>
          <w:spacing w:val="-2"/>
        </w:rPr>
        <w:t>“</w:t>
      </w:r>
      <w:r>
        <w:rPr>
          <w:spacing w:val="-2"/>
        </w:rPr>
        <w:t>人工智能、机器学习、自然语言处理、语</w:t>
      </w:r>
      <w:r>
        <w:rPr>
          <w:spacing w:val="-2"/>
        </w:rPr>
        <w:t>义识别</w:t>
      </w:r>
      <w:r>
        <w:rPr>
          <w:rFonts w:ascii="Times New Roman" w:hAnsi="Times New Roman" w:eastAsia="Times New Roman"/>
          <w:spacing w:val="-2"/>
        </w:rPr>
        <w:t>”</w:t>
      </w:r>
      <w:r>
        <w:rPr>
          <w:spacing w:val="-2"/>
        </w:rPr>
        <w:t>等算法、技术。</w:t>
      </w:r>
    </w:p>
    <w:p>
      <w:pPr>
        <w:pStyle w:val="BodyText"/>
        <w:spacing w:line="358" w:lineRule="exact"/>
        <w:ind w:left="1879"/>
        <w:rPr>
          <w:rFonts w:ascii="黑体" w:eastAsia="黑体"/>
        </w:rPr>
      </w:pPr>
      <w:r>
        <w:rPr>
          <w:rFonts w:ascii="黑体" w:eastAsia="黑体"/>
          <w:spacing w:val="-4"/>
        </w:rPr>
        <w:t>【应用效果】</w:t>
      </w:r>
    </w:p>
    <w:p>
      <w:pPr>
        <w:pStyle w:val="BodyText"/>
        <w:spacing w:before="7"/>
        <w:rPr>
          <w:rFonts w:ascii="黑体"/>
          <w:sz w:val="20"/>
        </w:rPr>
      </w:pPr>
    </w:p>
    <w:p>
      <w:pPr>
        <w:pStyle w:val="BodyText"/>
        <w:spacing w:line="417" w:lineRule="auto"/>
        <w:ind w:left="1320" w:right="1174" w:firstLine="559"/>
      </w:pPr>
      <w:r>
        <w:rPr>
          <w:spacing w:val="-2"/>
        </w:rPr>
        <w:t>业务流程明显优化：数据清理环节以减少人工操作环节，工作量</w:t>
      </w:r>
      <w:r>
        <w:rPr>
          <w:spacing w:val="-2"/>
        </w:rPr>
        <w:t>下降，业务流程时间缩短了，计算的过程加快手，加速了流程运转，</w:t>
      </w:r>
      <w:r>
        <w:rPr>
          <w:spacing w:val="-2"/>
        </w:rPr>
        <w:t>提升了整体效率。</w:t>
      </w:r>
    </w:p>
    <w:p>
      <w:pPr>
        <w:pStyle w:val="BodyText"/>
        <w:spacing w:line="417" w:lineRule="auto"/>
        <w:ind w:left="1320" w:right="1314" w:firstLine="559"/>
        <w:jc w:val="both"/>
      </w:pPr>
      <w:r>
        <w:rPr>
          <w:spacing w:val="-4"/>
        </w:rPr>
        <w:t>人力成本大幅降低：利用了</w:t>
      </w:r>
      <w:r>
        <w:rPr>
          <w:rFonts w:ascii="Times New Roman" w:hAnsi="Times New Roman" w:eastAsia="Times New Roman"/>
          <w:spacing w:val="-4"/>
        </w:rPr>
        <w:t>“</w:t>
      </w:r>
      <w:r>
        <w:rPr>
          <w:spacing w:val="-4"/>
        </w:rPr>
        <w:t>人工智能、机器学习</w:t>
      </w:r>
      <w:r>
        <w:rPr>
          <w:rFonts w:ascii="Times New Roman" w:hAnsi="Times New Roman" w:eastAsia="Times New Roman"/>
          <w:spacing w:val="-4"/>
        </w:rPr>
        <w:t>”</w:t>
      </w:r>
      <w:r>
        <w:rPr>
          <w:spacing w:val="-4"/>
        </w:rPr>
        <w:t>的方法自动维</w:t>
      </w:r>
      <w:r>
        <w:rPr>
          <w:w w:val="95"/>
        </w:rPr>
        <w:t>护</w:t>
      </w:r>
      <w:r>
        <w:rPr>
          <w:w w:val="95"/>
        </w:rPr>
        <w:t>数</w:t>
      </w:r>
      <w:r>
        <w:rPr>
          <w:w w:val="95"/>
        </w:rPr>
        <w:t>据，帮助客户</w:t>
      </w:r>
      <w:r>
        <w:rPr>
          <w:w w:val="95"/>
        </w:rPr>
        <w:t>减</w:t>
      </w:r>
      <w:r>
        <w:rPr>
          <w:w w:val="95"/>
        </w:rPr>
        <w:t>少</w:t>
      </w:r>
      <w:r>
        <w:rPr>
          <w:w w:val="95"/>
        </w:rPr>
        <w:t> </w:t>
      </w:r>
      <w:r>
        <w:rPr>
          <w:rFonts w:ascii="Times New Roman" w:hAnsi="Times New Roman" w:eastAsia="Times New Roman"/>
          <w:w w:val="95"/>
        </w:rPr>
        <w:t>80%</w:t>
      </w:r>
      <w:r>
        <w:rPr>
          <w:w w:val="95"/>
        </w:rPr>
        <w:t>人</w:t>
      </w:r>
      <w:r>
        <w:rPr>
          <w:w w:val="95"/>
        </w:rPr>
        <w:t>力</w:t>
      </w:r>
      <w:r>
        <w:rPr>
          <w:w w:val="95"/>
        </w:rPr>
        <w:t>，每</w:t>
      </w:r>
      <w:r>
        <w:rPr>
          <w:w w:val="95"/>
        </w:rPr>
        <w:t>年</w:t>
      </w:r>
      <w:r>
        <w:rPr>
          <w:w w:val="95"/>
        </w:rPr>
        <w:t>节</w:t>
      </w:r>
      <w:r>
        <w:rPr>
          <w:w w:val="95"/>
        </w:rPr>
        <w:t>省</w:t>
      </w:r>
      <w:r>
        <w:rPr>
          <w:w w:val="95"/>
        </w:rPr>
        <w:t> </w:t>
      </w:r>
      <w:r>
        <w:rPr>
          <w:rFonts w:ascii="Times New Roman" w:hAnsi="Times New Roman" w:eastAsia="Times New Roman"/>
          <w:w w:val="95"/>
        </w:rPr>
        <w:t>400</w:t>
      </w:r>
      <w:r>
        <w:rPr>
          <w:rFonts w:ascii="Times New Roman" w:hAnsi="Times New Roman" w:eastAsia="Times New Roman"/>
          <w:spacing w:val="40"/>
        </w:rPr>
        <w:t> </w:t>
      </w:r>
      <w:r>
        <w:rPr>
          <w:w w:val="95"/>
        </w:rPr>
        <w:t>万，实</w:t>
      </w:r>
      <w:r>
        <w:rPr>
          <w:w w:val="95"/>
        </w:rPr>
        <w:t>施</w:t>
      </w:r>
      <w:r>
        <w:rPr>
          <w:w w:val="95"/>
        </w:rPr>
        <w:t>前</w:t>
      </w:r>
      <w:r>
        <w:rPr>
          <w:w w:val="95"/>
        </w:rPr>
        <w:t>大</w:t>
      </w:r>
      <w:r>
        <w:rPr>
          <w:w w:val="95"/>
        </w:rPr>
        <w:t>量</w:t>
      </w:r>
      <w:r>
        <w:rPr>
          <w:w w:val="95"/>
        </w:rPr>
        <w:t>人</w:t>
      </w:r>
      <w:r>
        <w:rPr>
          <w:w w:val="95"/>
        </w:rPr>
        <w:t>工</w:t>
      </w:r>
      <w:r>
        <w:rPr>
          <w:spacing w:val="-4"/>
        </w:rPr>
        <w:t>进行数据维护，每月百人团队加班半个月的状况大大改善，人力节省</w:t>
      </w:r>
      <w:r>
        <w:rPr>
          <w:spacing w:val="-3"/>
        </w:rPr>
        <w:t>效果显著，整个团队体量从 </w:t>
      </w:r>
      <w:r>
        <w:rPr>
          <w:rFonts w:ascii="Times New Roman" w:hAnsi="Times New Roman" w:eastAsia="Times New Roman"/>
        </w:rPr>
        <w:t>200 </w:t>
      </w:r>
      <w:r>
        <w:rPr>
          <w:spacing w:val="-6"/>
        </w:rPr>
        <w:t>人缩减到 </w:t>
      </w:r>
      <w:r>
        <w:rPr>
          <w:rFonts w:ascii="Times New Roman" w:hAnsi="Times New Roman" w:eastAsia="Times New Roman"/>
        </w:rPr>
        <w:t>20 </w:t>
      </w:r>
      <w:r>
        <w:rPr/>
        <w:t>人。</w:t>
      </w:r>
    </w:p>
    <w:p>
      <w:pPr>
        <w:pStyle w:val="BodyText"/>
        <w:spacing w:line="417" w:lineRule="auto"/>
        <w:ind w:left="1320" w:right="1316" w:firstLine="559"/>
      </w:pPr>
      <w:r>
        <w:rPr>
          <w:spacing w:val="-4"/>
        </w:rPr>
        <w:t>数据化转型奠定基础：数据运转进程的加速，数据可依赖性的提</w:t>
      </w:r>
      <w:r>
        <w:rPr>
          <w:spacing w:val="-7"/>
        </w:rPr>
        <w:t>升，使得企业在其渠道管理上实现了提升，也使企业对进一步利用数</w:t>
      </w:r>
    </w:p>
    <w:p>
      <w:pPr>
        <w:spacing w:before="113"/>
        <w:ind w:left="1329" w:right="1325" w:firstLine="0"/>
        <w:jc w:val="center"/>
        <w:rPr>
          <w:rFonts w:ascii="Times New Roman"/>
          <w:sz w:val="18"/>
        </w:rPr>
      </w:pPr>
      <w:r>
        <w:rPr>
          <w:rFonts w:ascii="Times New Roman"/>
          <w:spacing w:val="-5"/>
          <w:sz w:val="18"/>
        </w:rPr>
        <w:t>88</w:t>
      </w:r>
    </w:p>
    <w:p>
      <w:pPr>
        <w:spacing w:after="0"/>
        <w:jc w:val="center"/>
        <w:rPr>
          <w:rFonts w:ascii="Times New Roman"/>
          <w:sz w:val="18"/>
        </w:rPr>
        <w:sectPr>
          <w:headerReference w:type="default" r:id="rId110"/>
          <w:pgSz w:w="11910" w:h="16840"/>
          <w:pgMar w:header="877" w:footer="0" w:top="1100" w:bottom="280" w:left="480" w:right="480"/>
        </w:sectPr>
      </w:pPr>
    </w:p>
    <w:p>
      <w:pPr>
        <w:pStyle w:val="BodyText"/>
        <w:rPr>
          <w:rFonts w:ascii="Times New Roman"/>
          <w:sz w:val="20"/>
        </w:rPr>
      </w:pPr>
    </w:p>
    <w:p>
      <w:pPr>
        <w:pStyle w:val="BodyText"/>
        <w:spacing w:before="225"/>
        <w:ind w:left="1320"/>
      </w:pPr>
      <w:r>
        <w:rPr>
          <w:spacing w:val="-3"/>
        </w:rPr>
        <w:t>据助力业务发展有了实现的基础。</w:t>
      </w:r>
    </w:p>
    <w:p>
      <w:pPr>
        <w:pStyle w:val="BodyText"/>
        <w:spacing w:before="8"/>
        <w:rPr>
          <w:sz w:val="20"/>
        </w:rPr>
      </w:pPr>
    </w:p>
    <w:p>
      <w:pPr>
        <w:pStyle w:val="BodyText"/>
        <w:spacing w:before="1"/>
        <w:ind w:left="1879"/>
        <w:rPr>
          <w:rFonts w:ascii="黑体" w:eastAsia="黑体"/>
        </w:rPr>
      </w:pPr>
      <w:r>
        <w:rPr>
          <w:rFonts w:ascii="黑体" w:eastAsia="黑体"/>
          <w:spacing w:val="-4"/>
        </w:rPr>
        <w:t>【洞察启示】</w:t>
      </w:r>
    </w:p>
    <w:p>
      <w:pPr>
        <w:pStyle w:val="BodyText"/>
        <w:spacing w:before="8"/>
        <w:rPr>
          <w:rFonts w:ascii="黑体"/>
          <w:sz w:val="20"/>
        </w:rPr>
      </w:pPr>
    </w:p>
    <w:p>
      <w:pPr>
        <w:pStyle w:val="BodyText"/>
        <w:spacing w:line="417" w:lineRule="auto" w:before="1"/>
        <w:ind w:left="1320" w:right="1316" w:firstLine="559"/>
        <w:jc w:val="both"/>
      </w:pPr>
      <w:r>
        <w:rPr>
          <w:spacing w:val="-4"/>
        </w:rPr>
        <w:t>对于需要通过人工规则进行数据清洗、质量提升的工作，通过人</w:t>
      </w:r>
      <w:r>
        <w:rPr>
          <w:spacing w:val="-4"/>
        </w:rPr>
        <w:t>工智能进行自动识别与补充，能大大提高工作效率，节省人力。对分</w:t>
      </w:r>
      <w:r>
        <w:rPr>
          <w:spacing w:val="-4"/>
        </w:rPr>
        <w:t>销行业，对渠道模式为主的，都会面临渠道数据质量问题，具有很好</w:t>
      </w:r>
      <w:r>
        <w:rPr>
          <w:spacing w:val="-2"/>
        </w:rPr>
        <w:t>的参考借鉴意义。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93"/>
        <w:ind w:left="1329" w:right="1325" w:firstLine="0"/>
        <w:jc w:val="center"/>
        <w:rPr>
          <w:rFonts w:ascii="Times New Roman"/>
          <w:sz w:val="18"/>
        </w:rPr>
      </w:pPr>
      <w:r>
        <w:rPr>
          <w:rFonts w:ascii="Times New Roman"/>
          <w:spacing w:val="-5"/>
          <w:sz w:val="18"/>
        </w:rPr>
        <w:t>89</w:t>
      </w:r>
    </w:p>
    <w:p>
      <w:pPr>
        <w:spacing w:after="0"/>
        <w:jc w:val="center"/>
        <w:rPr>
          <w:rFonts w:ascii="Times New Roman"/>
          <w:sz w:val="18"/>
        </w:rPr>
        <w:sectPr>
          <w:headerReference w:type="default" r:id="rId111"/>
          <w:pgSz w:w="11910" w:h="16840"/>
          <w:pgMar w:header="877" w:footer="0" w:top="1100" w:bottom="280" w:left="480" w:right="480"/>
        </w:sectPr>
      </w:pPr>
    </w:p>
    <w:p>
      <w:pPr>
        <w:pStyle w:val="BodyText"/>
        <w:rPr>
          <w:rFonts w:ascii="Times New Roman"/>
          <w:sz w:val="20"/>
        </w:rPr>
      </w:pPr>
    </w:p>
    <w:p>
      <w:pPr>
        <w:pStyle w:val="Heading2"/>
      </w:pPr>
      <w:bookmarkStart w:name="_bookmark80" w:id="81"/>
      <w:bookmarkEnd w:id="81"/>
      <w:r>
        <w:rPr>
          <w:b w:val="0"/>
        </w:rPr>
      </w:r>
      <w:r>
        <w:rPr>
          <w:w w:val="95"/>
        </w:rPr>
        <w:t>（</w:t>
      </w:r>
      <w:r>
        <w:rPr>
          <w:w w:val="95"/>
        </w:rPr>
        <w:t>八</w:t>
      </w:r>
      <w:r>
        <w:rPr>
          <w:w w:val="95"/>
        </w:rPr>
        <w:t>）</w:t>
      </w:r>
      <w:r>
        <w:rPr>
          <w:w w:val="95"/>
        </w:rPr>
        <w:t>某</w:t>
      </w:r>
      <w:r>
        <w:rPr>
          <w:w w:val="95"/>
        </w:rPr>
        <w:t>大</w:t>
      </w:r>
      <w:r>
        <w:rPr>
          <w:w w:val="95"/>
        </w:rPr>
        <w:t>型</w:t>
      </w:r>
      <w:r>
        <w:rPr>
          <w:w w:val="95"/>
        </w:rPr>
        <w:t>钢</w:t>
      </w:r>
      <w:r>
        <w:rPr>
          <w:w w:val="95"/>
        </w:rPr>
        <w:t>铁</w:t>
      </w:r>
      <w:r>
        <w:rPr>
          <w:w w:val="95"/>
        </w:rPr>
        <w:t>集</w:t>
      </w:r>
      <w:r>
        <w:rPr>
          <w:w w:val="95"/>
        </w:rPr>
        <w:t>团</w:t>
      </w:r>
      <w:r>
        <w:rPr>
          <w:w w:val="95"/>
        </w:rPr>
        <w:t>公</w:t>
      </w:r>
      <w:r>
        <w:rPr>
          <w:w w:val="95"/>
        </w:rPr>
        <w:t>司数据</w:t>
      </w:r>
      <w:r>
        <w:rPr>
          <w:w w:val="95"/>
        </w:rPr>
        <w:t>资</w:t>
      </w:r>
      <w:r>
        <w:rPr>
          <w:w w:val="95"/>
        </w:rPr>
        <w:t>产</w:t>
      </w:r>
      <w:r>
        <w:rPr>
          <w:w w:val="95"/>
        </w:rPr>
        <w:t>管</w:t>
      </w:r>
      <w:r>
        <w:rPr>
          <w:w w:val="95"/>
        </w:rPr>
        <w:t>理</w:t>
      </w:r>
      <w:r>
        <w:rPr>
          <w:w w:val="95"/>
        </w:rPr>
        <w:t>案</w:t>
      </w:r>
      <w:r>
        <w:rPr>
          <w:spacing w:val="-10"/>
          <w:w w:val="95"/>
        </w:rPr>
        <w:t>例</w:t>
      </w:r>
    </w:p>
    <w:p>
      <w:pPr>
        <w:pStyle w:val="BodyText"/>
        <w:spacing w:before="7"/>
        <w:rPr>
          <w:rFonts w:ascii="楷体"/>
          <w:b/>
          <w:sz w:val="23"/>
        </w:rPr>
      </w:pPr>
    </w:p>
    <w:p>
      <w:pPr>
        <w:pStyle w:val="BodyText"/>
        <w:ind w:left="1879"/>
        <w:rPr>
          <w:rFonts w:ascii="黑体" w:eastAsia="黑体"/>
        </w:rPr>
      </w:pPr>
      <w:r>
        <w:rPr>
          <w:rFonts w:ascii="黑体" w:eastAsia="黑体"/>
          <w:spacing w:val="-3"/>
        </w:rPr>
        <w:t>【企业基本情况和数据情况】</w:t>
      </w:r>
    </w:p>
    <w:p>
      <w:pPr>
        <w:pStyle w:val="BodyText"/>
        <w:spacing w:before="9"/>
        <w:rPr>
          <w:rFonts w:ascii="黑体"/>
          <w:sz w:val="20"/>
        </w:rPr>
      </w:pPr>
    </w:p>
    <w:p>
      <w:pPr>
        <w:pStyle w:val="BodyText"/>
        <w:spacing w:line="417" w:lineRule="auto"/>
        <w:ind w:left="1320" w:right="1314" w:firstLine="559"/>
        <w:jc w:val="both"/>
      </w:pPr>
      <w:r>
        <w:rPr>
          <w:spacing w:val="-4"/>
        </w:rPr>
        <w:t>该企业是集矿山采掘和钢铁生产、加工、配送、贸易为一体的特</w:t>
      </w:r>
      <w:r>
        <w:rPr>
          <w:spacing w:val="-4"/>
        </w:rPr>
        <w:t>大型钢铁联合企业，也是全球不锈钢行业领军企业。集团致力于转型</w:t>
      </w:r>
      <w:r>
        <w:rPr>
          <w:spacing w:val="-5"/>
        </w:rPr>
        <w:t>升级，建设资源保障基地和钢材延伸加工基地，构建具有国际竞争力</w:t>
      </w:r>
      <w:r>
        <w:rPr>
          <w:spacing w:val="-9"/>
        </w:rPr>
        <w:t>的钢铁上下游产业链；年收入 </w:t>
      </w:r>
      <w:r>
        <w:rPr>
          <w:rFonts w:ascii="Times New Roman" w:eastAsia="Times New Roman"/>
          <w:spacing w:val="-4"/>
        </w:rPr>
        <w:t>1500</w:t>
      </w:r>
      <w:r>
        <w:rPr>
          <w:rFonts w:ascii="Times New Roman" w:eastAsia="Times New Roman"/>
        </w:rPr>
        <w:t> </w:t>
      </w:r>
      <w:r>
        <w:rPr>
          <w:spacing w:val="-13"/>
        </w:rPr>
        <w:t>亿，生产量超过 </w:t>
      </w:r>
      <w:r>
        <w:rPr>
          <w:rFonts w:ascii="Times New Roman" w:eastAsia="Times New Roman"/>
          <w:spacing w:val="-4"/>
        </w:rPr>
        <w:t>1000</w:t>
      </w:r>
      <w:r>
        <w:rPr>
          <w:rFonts w:ascii="Times New Roman" w:eastAsia="Times New Roman"/>
        </w:rPr>
        <w:t> </w:t>
      </w:r>
      <w:r>
        <w:rPr>
          <w:spacing w:val="-6"/>
        </w:rPr>
        <w:t>万吨，为年</w:t>
      </w:r>
    </w:p>
    <w:p>
      <w:pPr>
        <w:pStyle w:val="BodyText"/>
        <w:spacing w:line="358" w:lineRule="exact"/>
        <w:ind w:left="1320"/>
        <w:jc w:val="both"/>
      </w:pPr>
      <w:r>
        <w:rPr>
          <w:spacing w:val="-12"/>
        </w:rPr>
        <w:t>度中国企业 </w:t>
      </w:r>
      <w:r>
        <w:rPr>
          <w:rFonts w:ascii="Times New Roman" w:eastAsia="Times New Roman"/>
        </w:rPr>
        <w:t>500</w:t>
      </w:r>
      <w:r>
        <w:rPr>
          <w:rFonts w:ascii="Times New Roman" w:eastAsia="Times New Roman"/>
          <w:spacing w:val="-11"/>
        </w:rPr>
        <w:t> </w:t>
      </w:r>
      <w:r>
        <w:rPr>
          <w:spacing w:val="-2"/>
        </w:rPr>
        <w:t>强企业之一。</w:t>
      </w:r>
    </w:p>
    <w:p>
      <w:pPr>
        <w:pStyle w:val="BodyText"/>
        <w:spacing w:before="265"/>
        <w:ind w:left="1879"/>
        <w:rPr>
          <w:rFonts w:ascii="黑体" w:eastAsia="黑体"/>
        </w:rPr>
      </w:pPr>
      <w:r>
        <w:rPr>
          <w:rFonts w:ascii="黑体" w:eastAsia="黑体"/>
          <w:spacing w:val="-4"/>
        </w:rPr>
        <w:t>【痛点和难点】</w:t>
      </w:r>
    </w:p>
    <w:p>
      <w:pPr>
        <w:pStyle w:val="BodyText"/>
        <w:spacing w:before="9"/>
        <w:rPr>
          <w:rFonts w:ascii="黑体"/>
          <w:sz w:val="20"/>
        </w:rPr>
      </w:pPr>
    </w:p>
    <w:p>
      <w:pPr>
        <w:pStyle w:val="BodyText"/>
        <w:spacing w:line="417" w:lineRule="auto"/>
        <w:ind w:left="1320" w:right="1179" w:firstLine="559"/>
      </w:pPr>
      <w:r>
        <w:rPr>
          <w:spacing w:val="-2"/>
        </w:rPr>
        <w:t>企业在战略上正在逐步向数据化转型，然而对于在数据的采集、</w:t>
      </w:r>
      <w:r>
        <w:rPr>
          <w:spacing w:val="-12"/>
        </w:rPr>
        <w:t>处理过程，以及如何将实时数据处理结果嵌入生产流程中仍然存在种</w:t>
      </w:r>
      <w:r>
        <w:rPr>
          <w:spacing w:val="-2"/>
        </w:rPr>
        <w:t>种问题与障碍：</w:t>
      </w:r>
    </w:p>
    <w:p>
      <w:pPr>
        <w:pStyle w:val="BodyText"/>
        <w:spacing w:line="417" w:lineRule="auto"/>
        <w:ind w:left="1320" w:right="1317" w:firstLine="559"/>
        <w:jc w:val="both"/>
      </w:pPr>
      <w:r>
        <w:rPr>
          <w:spacing w:val="-4"/>
        </w:rPr>
        <w:t>数据采集受限。以往用于传统的分析预测的数据源非常有限，无</w:t>
      </w:r>
      <w:r>
        <w:rPr>
          <w:spacing w:val="-8"/>
        </w:rPr>
        <w:t>法有效地支持更复杂的分析方法与技术。大量的非结构化数据的采集</w:t>
      </w:r>
      <w:r>
        <w:rPr>
          <w:spacing w:val="-2"/>
        </w:rPr>
        <w:t>处理，原有的集成系统并不能很好地支持实际的需求。</w:t>
      </w:r>
    </w:p>
    <w:p>
      <w:pPr>
        <w:pStyle w:val="BodyText"/>
        <w:spacing w:line="417" w:lineRule="auto"/>
        <w:ind w:left="1320" w:right="1175" w:firstLine="559"/>
      </w:pPr>
      <w:r>
        <w:rPr>
          <w:spacing w:val="-7"/>
        </w:rPr>
        <w:t>要求实时处理的数据结果无法嵌入生产流程，导致质检仍然只能</w:t>
      </w:r>
      <w:r>
        <w:rPr>
          <w:spacing w:val="-23"/>
        </w:rPr>
        <w:t>靠人工抽检，效率低，成本高：由于收集与处理图像等非结构化数据，</w:t>
      </w:r>
      <w:r>
        <w:rPr>
          <w:spacing w:val="-2"/>
        </w:rPr>
        <w:t>导致支持质检数据分析处理的结果大大地滞后于生产流程所需时间。</w:t>
      </w:r>
      <w:r>
        <w:rPr/>
        <w:t>企业在钢卷生产过程需要在钢板成卷前 </w:t>
      </w:r>
      <w:r>
        <w:rPr>
          <w:rFonts w:ascii="Times New Roman" w:eastAsia="Times New Roman"/>
        </w:rPr>
        <w:t>30</w:t>
      </w:r>
      <w:r>
        <w:rPr>
          <w:rFonts w:ascii="Times New Roman" w:eastAsia="Times New Roman"/>
          <w:spacing w:val="22"/>
        </w:rPr>
        <w:t> </w:t>
      </w:r>
      <w:r>
        <w:rPr/>
        <w:t>分钟内完成质量检测，原</w:t>
      </w:r>
      <w:r>
        <w:rPr>
          <w:spacing w:val="-6"/>
        </w:rPr>
        <w:t>有质检系统仍然为半自动化，仍需要大量人工参与检测，而且只能对</w:t>
      </w:r>
      <w:r>
        <w:rPr>
          <w:spacing w:val="-2"/>
        </w:rPr>
        <w:t>单个采集点缺陷判断，不能判断整卷钢材是否合格；相机扫描速度快</w:t>
      </w:r>
    </w:p>
    <w:p>
      <w:pPr>
        <w:pStyle w:val="BodyText"/>
        <w:spacing w:line="417" w:lineRule="auto"/>
        <w:ind w:left="1320" w:right="1317"/>
      </w:pPr>
      <w:r>
        <w:rPr>
          <w:spacing w:val="-2"/>
        </w:rPr>
        <w:t>（</w:t>
      </w:r>
      <w:r>
        <w:rPr>
          <w:spacing w:val="-18"/>
        </w:rPr>
        <w:t>为 </w:t>
      </w:r>
      <w:r>
        <w:rPr>
          <w:rFonts w:ascii="Times New Roman" w:eastAsia="Times New Roman"/>
          <w:spacing w:val="11"/>
        </w:rPr>
        <w:t>1</w:t>
      </w:r>
      <w:r>
        <w:rPr>
          <w:rFonts w:ascii="Times New Roman" w:eastAsia="Times New Roman"/>
          <w:spacing w:val="6"/>
        </w:rPr>
        <w:t>m</w:t>
      </w:r>
      <w:r>
        <w:rPr>
          <w:rFonts w:ascii="Times New Roman" w:eastAsia="Times New Roman"/>
          <w:spacing w:val="11"/>
        </w:rPr>
        <w:t>/s~5</w:t>
      </w:r>
      <w:r>
        <w:rPr>
          <w:rFonts w:ascii="Times New Roman" w:eastAsia="Times New Roman"/>
          <w:spacing w:val="6"/>
        </w:rPr>
        <w:t>m</w:t>
      </w:r>
      <w:r>
        <w:rPr>
          <w:rFonts w:ascii="Times New Roman" w:eastAsia="Times New Roman"/>
          <w:spacing w:val="11"/>
        </w:rPr>
        <w:t>/</w:t>
      </w:r>
      <w:r>
        <w:rPr>
          <w:rFonts w:ascii="Times New Roman" w:eastAsia="Times New Roman"/>
          <w:spacing w:val="13"/>
        </w:rPr>
        <w:t>s</w:t>
      </w:r>
      <w:r>
        <w:rPr>
          <w:spacing w:val="-126"/>
        </w:rPr>
        <w:t>）</w:t>
      </w:r>
      <w:r>
        <w:rPr>
          <w:spacing w:val="-2"/>
        </w:rPr>
        <w:t>，人工仅能以抽检的方式进行监控；而人工检测准</w:t>
      </w:r>
      <w:r>
        <w:rPr>
          <w:spacing w:val="-2"/>
        </w:rPr>
        <w:t>确率低，造成退货成本高。</w:t>
      </w:r>
    </w:p>
    <w:p>
      <w:pPr>
        <w:spacing w:before="52"/>
        <w:ind w:left="1329" w:right="1325" w:firstLine="0"/>
        <w:jc w:val="center"/>
        <w:rPr>
          <w:rFonts w:ascii="Times New Roman"/>
          <w:sz w:val="18"/>
        </w:rPr>
      </w:pPr>
      <w:r>
        <w:rPr>
          <w:rFonts w:ascii="Times New Roman"/>
          <w:spacing w:val="-5"/>
          <w:sz w:val="18"/>
        </w:rPr>
        <w:t>90</w:t>
      </w:r>
    </w:p>
    <w:p>
      <w:pPr>
        <w:spacing w:after="0"/>
        <w:jc w:val="center"/>
        <w:rPr>
          <w:rFonts w:ascii="Times New Roman"/>
          <w:sz w:val="18"/>
        </w:rPr>
        <w:sectPr>
          <w:headerReference w:type="default" r:id="rId112"/>
          <w:pgSz w:w="11910" w:h="16840"/>
          <w:pgMar w:header="877" w:footer="0" w:top="1100" w:bottom="280" w:left="480" w:right="480"/>
        </w:sectPr>
      </w:pPr>
    </w:p>
    <w:p>
      <w:pPr>
        <w:pStyle w:val="BodyText"/>
        <w:rPr>
          <w:rFonts w:ascii="Times New Roman"/>
          <w:sz w:val="20"/>
        </w:rPr>
      </w:pPr>
    </w:p>
    <w:p>
      <w:pPr>
        <w:pStyle w:val="BodyText"/>
        <w:spacing w:before="225"/>
        <w:ind w:left="1879"/>
        <w:rPr>
          <w:rFonts w:ascii="黑体" w:eastAsia="黑体"/>
        </w:rPr>
      </w:pPr>
      <w:r>
        <w:rPr>
          <w:rFonts w:ascii="黑体" w:eastAsia="黑体"/>
          <w:spacing w:val="-4"/>
        </w:rPr>
        <w:t>【实践路径】</w:t>
      </w:r>
    </w:p>
    <w:p>
      <w:pPr>
        <w:pStyle w:val="Heading3"/>
        <w:numPr>
          <w:ilvl w:val="0"/>
          <w:numId w:val="31"/>
        </w:numPr>
        <w:tabs>
          <w:tab w:pos="2203" w:val="left" w:leader="none"/>
        </w:tabs>
        <w:spacing w:line="240" w:lineRule="auto" w:before="237" w:after="0"/>
        <w:ind w:left="2202" w:right="0" w:hanging="242"/>
        <w:jc w:val="left"/>
      </w:pPr>
      <w:r>
        <w:rPr>
          <w:w w:val="95"/>
        </w:rPr>
        <w:t>拓</w:t>
      </w:r>
      <w:r>
        <w:rPr>
          <w:w w:val="95"/>
        </w:rPr>
        <w:t>源</w:t>
      </w:r>
      <w:r>
        <w:rPr>
          <w:w w:val="95"/>
        </w:rPr>
        <w:t>：针</w:t>
      </w:r>
      <w:r>
        <w:rPr>
          <w:w w:val="95"/>
        </w:rPr>
        <w:t>对</w:t>
      </w:r>
      <w:r>
        <w:rPr>
          <w:w w:val="95"/>
        </w:rPr>
        <w:t>数</w:t>
      </w:r>
      <w:r>
        <w:rPr>
          <w:w w:val="95"/>
        </w:rPr>
        <w:t>据</w:t>
      </w:r>
      <w:r>
        <w:rPr>
          <w:w w:val="95"/>
        </w:rPr>
        <w:t>来</w:t>
      </w:r>
      <w:r>
        <w:rPr>
          <w:w w:val="95"/>
        </w:rPr>
        <w:t>源</w:t>
      </w:r>
      <w:r>
        <w:rPr>
          <w:w w:val="95"/>
        </w:rPr>
        <w:t>进</w:t>
      </w:r>
      <w:r>
        <w:rPr>
          <w:w w:val="95"/>
        </w:rPr>
        <w:t>行</w:t>
      </w:r>
      <w:r>
        <w:rPr>
          <w:w w:val="95"/>
        </w:rPr>
        <w:t>一</w:t>
      </w:r>
      <w:r>
        <w:rPr>
          <w:w w:val="95"/>
        </w:rPr>
        <w:t>系</w:t>
      </w:r>
      <w:r>
        <w:rPr>
          <w:w w:val="95"/>
        </w:rPr>
        <w:t>列</w:t>
      </w:r>
      <w:r>
        <w:rPr>
          <w:w w:val="95"/>
        </w:rPr>
        <w:t>的</w:t>
      </w:r>
      <w:r>
        <w:rPr>
          <w:w w:val="95"/>
        </w:rPr>
        <w:t>改</w:t>
      </w:r>
      <w:r>
        <w:rPr>
          <w:spacing w:val="-10"/>
          <w:w w:val="95"/>
        </w:rPr>
        <w:t>造</w:t>
      </w:r>
    </w:p>
    <w:p>
      <w:pPr>
        <w:pStyle w:val="BodyText"/>
        <w:spacing w:line="417" w:lineRule="auto" w:before="242"/>
        <w:ind w:left="1320" w:right="1313" w:firstLine="559"/>
        <w:jc w:val="both"/>
      </w:pPr>
      <w:r>
        <w:rPr/>
        <w:drawing>
          <wp:anchor distT="0" distB="0" distL="0" distR="0" allowOverlap="1" layoutInCell="1" locked="0" behindDoc="1" simplePos="0" relativeHeight="485512704">
            <wp:simplePos x="0" y="0"/>
            <wp:positionH relativeFrom="page">
              <wp:posOffset>1576958</wp:posOffset>
            </wp:positionH>
            <wp:positionV relativeFrom="paragraph">
              <wp:posOffset>2065146</wp:posOffset>
            </wp:positionV>
            <wp:extent cx="4543171" cy="1356995"/>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14" cstate="print"/>
                    <a:stretch>
                      <a:fillRect/>
                    </a:stretch>
                  </pic:blipFill>
                  <pic:spPr>
                    <a:xfrm>
                      <a:off x="0" y="0"/>
                      <a:ext cx="4543171" cy="1356995"/>
                    </a:xfrm>
                    <a:prstGeom prst="rect">
                      <a:avLst/>
                    </a:prstGeom>
                  </pic:spPr>
                </pic:pic>
              </a:graphicData>
            </a:graphic>
          </wp:anchor>
        </w:drawing>
      </w:r>
      <w:r>
        <w:rPr>
          <w:spacing w:val="-4"/>
        </w:rPr>
        <w:t>第一，扩充基础数据源，从原来业务系统数据包括生产数据如生</w:t>
      </w:r>
      <w:r>
        <w:rPr>
          <w:spacing w:val="-4"/>
        </w:rPr>
        <w:t>产任务数据、内部质量检测报告和实时生产设备监控数据等；出货管</w:t>
      </w:r>
      <w:r>
        <w:rPr>
          <w:spacing w:val="-4"/>
        </w:rPr>
        <w:t>理数据；销售数据；还扩充了下游汽车销售数据、宏观经济数据、网</w:t>
      </w:r>
      <w:r>
        <w:rPr>
          <w:spacing w:val="-4"/>
        </w:rPr>
        <w:t>络数据，聚合内外部多元数据作为数据分析的输入，通过元数据管理</w:t>
      </w:r>
      <w:r>
        <w:rPr>
          <w:spacing w:val="-2"/>
        </w:rPr>
        <w:t>将新增数据源纳入到整体数据管控体系中</w:t>
      </w:r>
    </w:p>
    <w:p>
      <w:pPr>
        <w:pStyle w:val="BodyText"/>
      </w:pPr>
    </w:p>
    <w:p>
      <w:pPr>
        <w:pStyle w:val="BodyText"/>
      </w:pPr>
    </w:p>
    <w:p>
      <w:pPr>
        <w:pStyle w:val="BodyText"/>
      </w:pPr>
    </w:p>
    <w:p>
      <w:pPr>
        <w:pStyle w:val="BodyText"/>
      </w:pPr>
    </w:p>
    <w:p>
      <w:pPr>
        <w:pStyle w:val="BodyText"/>
      </w:pPr>
    </w:p>
    <w:p>
      <w:pPr>
        <w:pStyle w:val="BodyText"/>
        <w:spacing w:before="5"/>
        <w:rPr>
          <w:sz w:val="26"/>
        </w:rPr>
      </w:pPr>
    </w:p>
    <w:p>
      <w:pPr>
        <w:spacing w:before="0"/>
        <w:ind w:left="1329" w:right="1152" w:firstLine="0"/>
        <w:jc w:val="center"/>
        <w:rPr>
          <w:sz w:val="24"/>
        </w:rPr>
      </w:pPr>
      <w:bookmarkStart w:name="_bookmark81" w:id="82"/>
      <w:bookmarkEnd w:id="82"/>
      <w:r>
        <w:rPr/>
      </w:r>
      <w:r>
        <w:rPr>
          <w:spacing w:val="9"/>
          <w:sz w:val="24"/>
        </w:rPr>
        <w:t>图 </w:t>
      </w:r>
      <w:r>
        <w:rPr>
          <w:rFonts w:ascii="Times New Roman" w:eastAsia="Times New Roman"/>
          <w:sz w:val="24"/>
        </w:rPr>
        <w:t>14</w:t>
      </w:r>
      <w:r>
        <w:rPr>
          <w:rFonts w:ascii="Times New Roman" w:eastAsia="Times New Roman"/>
          <w:spacing w:val="69"/>
          <w:sz w:val="24"/>
        </w:rPr>
        <w:t> </w:t>
      </w:r>
      <w:r>
        <w:rPr>
          <w:spacing w:val="14"/>
          <w:sz w:val="24"/>
        </w:rPr>
        <w:t>数据资产管理流程图</w:t>
      </w:r>
    </w:p>
    <w:p>
      <w:pPr>
        <w:pStyle w:val="BodyText"/>
        <w:spacing w:before="1"/>
        <w:rPr>
          <w:sz w:val="32"/>
        </w:rPr>
      </w:pPr>
    </w:p>
    <w:p>
      <w:pPr>
        <w:pStyle w:val="BodyText"/>
        <w:spacing w:line="417" w:lineRule="auto"/>
        <w:ind w:left="1320" w:right="1316" w:firstLine="559"/>
      </w:pPr>
      <w:r>
        <w:rPr>
          <w:spacing w:val="-4"/>
        </w:rPr>
        <w:t>第二，大数据平台的建设，实现了不同数据来源不同结构数据的</w:t>
      </w:r>
      <w:r>
        <w:rPr>
          <w:spacing w:val="-2"/>
        </w:rPr>
        <w:t>采集与集成。</w:t>
      </w:r>
    </w:p>
    <w:p>
      <w:pPr>
        <w:pStyle w:val="ListParagraph"/>
        <w:numPr>
          <w:ilvl w:val="0"/>
          <w:numId w:val="32"/>
        </w:numPr>
        <w:tabs>
          <w:tab w:pos="2582" w:val="left" w:leader="none"/>
        </w:tabs>
        <w:spacing w:line="358" w:lineRule="exact" w:before="0" w:after="0"/>
        <w:ind w:left="2581" w:right="0" w:hanging="703"/>
        <w:jc w:val="left"/>
        <w:rPr>
          <w:sz w:val="28"/>
        </w:rPr>
      </w:pPr>
      <w:r>
        <w:rPr>
          <w:spacing w:val="-4"/>
          <w:sz w:val="28"/>
        </w:rPr>
        <w:t>多元数据统一采集</w:t>
      </w:r>
    </w:p>
    <w:p>
      <w:pPr>
        <w:pStyle w:val="BodyText"/>
        <w:spacing w:before="7"/>
        <w:rPr>
          <w:sz w:val="14"/>
        </w:rPr>
      </w:pPr>
      <w:r>
        <w:rPr/>
        <w:drawing>
          <wp:anchor distT="0" distB="0" distL="0" distR="0" allowOverlap="1" layoutInCell="1" locked="0" behindDoc="0" simplePos="0" relativeHeight="22">
            <wp:simplePos x="0" y="0"/>
            <wp:positionH relativeFrom="page">
              <wp:posOffset>1987959</wp:posOffset>
            </wp:positionH>
            <wp:positionV relativeFrom="paragraph">
              <wp:posOffset>133997</wp:posOffset>
            </wp:positionV>
            <wp:extent cx="3631002" cy="1487805"/>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115" cstate="print"/>
                    <a:stretch>
                      <a:fillRect/>
                    </a:stretch>
                  </pic:blipFill>
                  <pic:spPr>
                    <a:xfrm>
                      <a:off x="0" y="0"/>
                      <a:ext cx="3631002" cy="1487805"/>
                    </a:xfrm>
                    <a:prstGeom prst="rect">
                      <a:avLst/>
                    </a:prstGeom>
                  </pic:spPr>
                </pic:pic>
              </a:graphicData>
            </a:graphic>
          </wp:anchor>
        </w:drawing>
      </w:r>
    </w:p>
    <w:p>
      <w:pPr>
        <w:spacing w:before="157"/>
        <w:ind w:left="1329" w:right="1151" w:firstLine="0"/>
        <w:jc w:val="center"/>
        <w:rPr>
          <w:sz w:val="24"/>
        </w:rPr>
      </w:pPr>
      <w:bookmarkStart w:name="_bookmark82" w:id="83"/>
      <w:bookmarkEnd w:id="83"/>
      <w:r>
        <w:rPr/>
      </w:r>
      <w:r>
        <w:rPr>
          <w:spacing w:val="9"/>
          <w:sz w:val="24"/>
        </w:rPr>
        <w:t>图 </w:t>
      </w:r>
      <w:r>
        <w:rPr>
          <w:rFonts w:ascii="Times New Roman" w:eastAsia="Times New Roman"/>
          <w:sz w:val="24"/>
        </w:rPr>
        <w:t>15</w:t>
      </w:r>
      <w:r>
        <w:rPr>
          <w:rFonts w:ascii="Times New Roman" w:eastAsia="Times New Roman"/>
          <w:spacing w:val="69"/>
          <w:sz w:val="24"/>
        </w:rPr>
        <w:t> </w:t>
      </w:r>
      <w:r>
        <w:rPr>
          <w:spacing w:val="14"/>
          <w:sz w:val="24"/>
        </w:rPr>
        <w:t>多元化数据集成</w:t>
      </w:r>
    </w:p>
    <w:p>
      <w:pPr>
        <w:pStyle w:val="BodyText"/>
        <w:spacing w:before="3"/>
        <w:rPr>
          <w:sz w:val="32"/>
        </w:rPr>
      </w:pPr>
    </w:p>
    <w:p>
      <w:pPr>
        <w:pStyle w:val="ListParagraph"/>
        <w:numPr>
          <w:ilvl w:val="0"/>
          <w:numId w:val="32"/>
        </w:numPr>
        <w:tabs>
          <w:tab w:pos="2587" w:val="left" w:leader="none"/>
        </w:tabs>
        <w:spacing w:line="417" w:lineRule="auto" w:before="0" w:after="0"/>
        <w:ind w:left="1320" w:right="1318" w:firstLine="559"/>
        <w:jc w:val="left"/>
        <w:rPr>
          <w:sz w:val="28"/>
        </w:rPr>
      </w:pPr>
      <w:r>
        <w:rPr>
          <w:spacing w:val="-2"/>
          <w:sz w:val="28"/>
        </w:rPr>
        <w:t>实时监控数据的采集与处理：和原监控系统在线对接在线</w:t>
      </w:r>
      <w:r>
        <w:rPr>
          <w:spacing w:val="-18"/>
          <w:sz w:val="28"/>
        </w:rPr>
        <w:t>对接 ；流架构实现在线数据，包括图像等非结构化数据的提取计算。</w:t>
      </w:r>
    </w:p>
    <w:p>
      <w:pPr>
        <w:pStyle w:val="BodyText"/>
        <w:rPr>
          <w:sz w:val="20"/>
        </w:rPr>
      </w:pPr>
    </w:p>
    <w:p>
      <w:pPr>
        <w:pStyle w:val="BodyText"/>
        <w:spacing w:before="2"/>
        <w:rPr>
          <w:sz w:val="16"/>
        </w:rPr>
      </w:pPr>
    </w:p>
    <w:p>
      <w:pPr>
        <w:spacing w:before="93"/>
        <w:ind w:left="1329" w:right="1325" w:firstLine="0"/>
        <w:jc w:val="center"/>
        <w:rPr>
          <w:rFonts w:ascii="Times New Roman"/>
          <w:sz w:val="18"/>
        </w:rPr>
      </w:pPr>
      <w:r>
        <w:rPr>
          <w:rFonts w:ascii="Times New Roman"/>
          <w:spacing w:val="-5"/>
          <w:sz w:val="18"/>
        </w:rPr>
        <w:t>91</w:t>
      </w:r>
    </w:p>
    <w:p>
      <w:pPr>
        <w:spacing w:after="0"/>
        <w:jc w:val="center"/>
        <w:rPr>
          <w:rFonts w:ascii="Times New Roman"/>
          <w:sz w:val="18"/>
        </w:rPr>
        <w:sectPr>
          <w:headerReference w:type="default" r:id="rId113"/>
          <w:pgSz w:w="11910" w:h="16840"/>
          <w:pgMar w:header="877" w:footer="0" w:top="1100" w:bottom="280" w:left="480" w:right="480"/>
        </w:sectPr>
      </w:pPr>
    </w:p>
    <w:p>
      <w:pPr>
        <w:pStyle w:val="BodyText"/>
        <w:rPr>
          <w:rFonts w:ascii="Times New Roman"/>
          <w:sz w:val="20"/>
        </w:rPr>
      </w:pPr>
    </w:p>
    <w:p>
      <w:pPr>
        <w:pStyle w:val="BodyText"/>
        <w:spacing w:before="7"/>
        <w:rPr>
          <w:rFonts w:ascii="Times New Roman"/>
          <w:sz w:val="18"/>
        </w:rPr>
      </w:pPr>
    </w:p>
    <w:p>
      <w:pPr>
        <w:pStyle w:val="BodyText"/>
        <w:ind w:left="3623"/>
        <w:rPr>
          <w:rFonts w:ascii="Times New Roman"/>
          <w:sz w:val="20"/>
        </w:rPr>
      </w:pPr>
      <w:r>
        <w:rPr>
          <w:rFonts w:ascii="Times New Roman"/>
          <w:sz w:val="20"/>
        </w:rPr>
        <w:drawing>
          <wp:inline distT="0" distB="0" distL="0" distR="0">
            <wp:extent cx="2438399" cy="1402079"/>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117" cstate="print"/>
                    <a:stretch>
                      <a:fillRect/>
                    </a:stretch>
                  </pic:blipFill>
                  <pic:spPr>
                    <a:xfrm>
                      <a:off x="0" y="0"/>
                      <a:ext cx="2438399" cy="1402079"/>
                    </a:xfrm>
                    <a:prstGeom prst="rect">
                      <a:avLst/>
                    </a:prstGeom>
                  </pic:spPr>
                </pic:pic>
              </a:graphicData>
            </a:graphic>
          </wp:inline>
        </w:drawing>
      </w:r>
      <w:r>
        <w:rPr>
          <w:rFonts w:ascii="Times New Roman"/>
          <w:sz w:val="20"/>
        </w:rPr>
      </w:r>
    </w:p>
    <w:p>
      <w:pPr>
        <w:pStyle w:val="BodyText"/>
        <w:rPr>
          <w:rFonts w:ascii="Times New Roman"/>
          <w:sz w:val="15"/>
        </w:rPr>
      </w:pPr>
    </w:p>
    <w:p>
      <w:pPr>
        <w:spacing w:before="74"/>
        <w:ind w:left="1329" w:right="1152" w:firstLine="0"/>
        <w:jc w:val="center"/>
        <w:rPr>
          <w:sz w:val="24"/>
        </w:rPr>
      </w:pPr>
      <w:bookmarkStart w:name="_bookmark83" w:id="84"/>
      <w:bookmarkEnd w:id="84"/>
      <w:r>
        <w:rPr/>
      </w:r>
      <w:r>
        <w:rPr>
          <w:spacing w:val="9"/>
          <w:sz w:val="24"/>
        </w:rPr>
        <w:t>图 </w:t>
      </w:r>
      <w:r>
        <w:rPr>
          <w:rFonts w:ascii="Times New Roman" w:eastAsia="Times New Roman"/>
          <w:sz w:val="24"/>
        </w:rPr>
        <w:t>16</w:t>
      </w:r>
      <w:r>
        <w:rPr>
          <w:rFonts w:ascii="Times New Roman" w:eastAsia="Times New Roman"/>
          <w:spacing w:val="69"/>
          <w:sz w:val="24"/>
        </w:rPr>
        <w:t> </w:t>
      </w:r>
      <w:r>
        <w:rPr>
          <w:spacing w:val="15"/>
          <w:sz w:val="24"/>
        </w:rPr>
        <w:t>原始检测数据实时采集</w:t>
      </w:r>
    </w:p>
    <w:p>
      <w:pPr>
        <w:pStyle w:val="BodyText"/>
        <w:spacing w:before="1"/>
        <w:rPr>
          <w:sz w:val="32"/>
        </w:rPr>
      </w:pPr>
    </w:p>
    <w:p>
      <w:pPr>
        <w:pStyle w:val="ListParagraph"/>
        <w:numPr>
          <w:ilvl w:val="0"/>
          <w:numId w:val="32"/>
        </w:numPr>
        <w:tabs>
          <w:tab w:pos="2587" w:val="left" w:leader="none"/>
        </w:tabs>
        <w:spacing w:line="417" w:lineRule="auto" w:before="0" w:after="0"/>
        <w:ind w:left="1320" w:right="1318" w:firstLine="559"/>
        <w:jc w:val="left"/>
        <w:rPr>
          <w:sz w:val="28"/>
        </w:rPr>
      </w:pPr>
      <w:r>
        <w:rPr>
          <w:spacing w:val="-2"/>
          <w:sz w:val="28"/>
        </w:rPr>
        <w:t>数据处理：对采集的数据源进行处理，包括数据检查、数</w:t>
      </w:r>
      <w:r>
        <w:rPr>
          <w:spacing w:val="-2"/>
          <w:sz w:val="28"/>
        </w:rPr>
        <w:t>据清洗与过滤规则</w:t>
      </w:r>
      <w:r>
        <w:rPr>
          <w:rFonts w:ascii="Times New Roman" w:eastAsia="Times New Roman"/>
          <w:spacing w:val="-2"/>
          <w:sz w:val="28"/>
        </w:rPr>
        <w:t>+</w:t>
      </w:r>
      <w:r>
        <w:rPr>
          <w:spacing w:val="-2"/>
          <w:sz w:val="28"/>
        </w:rPr>
        <w:t>人工智能化处理</w:t>
      </w:r>
    </w:p>
    <w:p>
      <w:pPr>
        <w:pStyle w:val="Heading3"/>
        <w:numPr>
          <w:ilvl w:val="0"/>
          <w:numId w:val="31"/>
        </w:numPr>
        <w:tabs>
          <w:tab w:pos="2203" w:val="left" w:leader="none"/>
        </w:tabs>
        <w:spacing w:line="382" w:lineRule="exact" w:before="0" w:after="0"/>
        <w:ind w:left="2202" w:right="0" w:hanging="242"/>
        <w:jc w:val="left"/>
      </w:pPr>
      <w:r>
        <w:rPr>
          <w:w w:val="95"/>
        </w:rPr>
        <w:t>治</w:t>
      </w:r>
      <w:r>
        <w:rPr>
          <w:w w:val="95"/>
        </w:rPr>
        <w:t>内</w:t>
      </w:r>
      <w:r>
        <w:rPr>
          <w:w w:val="95"/>
        </w:rPr>
        <w:t>：针</w:t>
      </w:r>
      <w:r>
        <w:rPr>
          <w:w w:val="95"/>
        </w:rPr>
        <w:t>对</w:t>
      </w:r>
      <w:r>
        <w:rPr>
          <w:w w:val="95"/>
        </w:rPr>
        <w:t>质</w:t>
      </w:r>
      <w:r>
        <w:rPr>
          <w:w w:val="95"/>
        </w:rPr>
        <w:t>量</w:t>
      </w:r>
      <w:r>
        <w:rPr>
          <w:w w:val="95"/>
        </w:rPr>
        <w:t>检</w:t>
      </w:r>
      <w:r>
        <w:rPr>
          <w:w w:val="95"/>
        </w:rPr>
        <w:t>测</w:t>
      </w:r>
      <w:r>
        <w:rPr>
          <w:w w:val="95"/>
        </w:rPr>
        <w:t>数</w:t>
      </w:r>
      <w:r>
        <w:rPr>
          <w:w w:val="95"/>
        </w:rPr>
        <w:t>据</w:t>
      </w:r>
      <w:r>
        <w:rPr>
          <w:w w:val="95"/>
        </w:rPr>
        <w:t>模</w:t>
      </w:r>
      <w:r>
        <w:rPr>
          <w:w w:val="95"/>
        </w:rPr>
        <w:t>型</w:t>
      </w:r>
      <w:r>
        <w:rPr>
          <w:w w:val="95"/>
        </w:rPr>
        <w:t>管</w:t>
      </w:r>
      <w:r>
        <w:rPr>
          <w:w w:val="95"/>
        </w:rPr>
        <w:t>理</w:t>
      </w:r>
      <w:r>
        <w:rPr>
          <w:spacing w:val="-10"/>
          <w:w w:val="95"/>
        </w:rPr>
        <w:t>：</w:t>
      </w:r>
    </w:p>
    <w:p>
      <w:pPr>
        <w:pStyle w:val="BodyText"/>
        <w:spacing w:line="417" w:lineRule="auto" w:before="242"/>
        <w:ind w:left="1320" w:right="1318" w:firstLine="559"/>
      </w:pPr>
      <w:r>
        <w:rPr>
          <w:spacing w:val="-4"/>
        </w:rPr>
        <w:t>第一，数据模型的建设：基于整合的数据，通过缺陷聚类与合格</w:t>
      </w:r>
      <w:r>
        <w:rPr>
          <w:spacing w:val="-2"/>
        </w:rPr>
        <w:t>专家模型建设，能支持多种型材的合格预测</w:t>
      </w:r>
    </w:p>
    <w:p>
      <w:pPr>
        <w:pStyle w:val="BodyText"/>
        <w:spacing w:line="417" w:lineRule="auto"/>
        <w:ind w:left="1320" w:right="1179" w:firstLine="559"/>
      </w:pPr>
      <w:r>
        <w:rPr/>
        <w:drawing>
          <wp:anchor distT="0" distB="0" distL="0" distR="0" allowOverlap="1" layoutInCell="1" locked="0" behindDoc="1" simplePos="0" relativeHeight="485513216">
            <wp:simplePos x="0" y="0"/>
            <wp:positionH relativeFrom="page">
              <wp:posOffset>2719704</wp:posOffset>
            </wp:positionH>
            <wp:positionV relativeFrom="paragraph">
              <wp:posOffset>1515745</wp:posOffset>
            </wp:positionV>
            <wp:extent cx="2247899" cy="1356359"/>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118" cstate="print"/>
                    <a:stretch>
                      <a:fillRect/>
                    </a:stretch>
                  </pic:blipFill>
                  <pic:spPr>
                    <a:xfrm>
                      <a:off x="0" y="0"/>
                      <a:ext cx="2247899" cy="1356359"/>
                    </a:xfrm>
                    <a:prstGeom prst="rect">
                      <a:avLst/>
                    </a:prstGeom>
                  </pic:spPr>
                </pic:pic>
              </a:graphicData>
            </a:graphic>
          </wp:anchor>
        </w:drawing>
      </w:r>
      <w:r>
        <w:rPr>
          <w:spacing w:val="-2"/>
        </w:rPr>
        <w:t>第二，数据模型的智能管理与优化：数据模型动态管理，质量检</w:t>
      </w:r>
      <w:r>
        <w:rPr>
          <w:spacing w:val="-6"/>
        </w:rPr>
        <w:t>测结果支持在线钢卷缺陷人工查看，结果返回系统；机器学习进行模</w:t>
      </w:r>
      <w:r>
        <w:rPr>
          <w:spacing w:val="-19"/>
        </w:rPr>
        <w:t>型优化。通过数据补充与检测结果反馈不断进行优化，形成管理闭环。</w:t>
      </w:r>
      <w:r>
        <w:rPr>
          <w:spacing w:val="-2"/>
        </w:rPr>
        <w:t>数据质量优化过程嵌入数据消费流程中，提升模型精度。</w:t>
      </w:r>
    </w:p>
    <w:p>
      <w:pPr>
        <w:pStyle w:val="BodyText"/>
      </w:pPr>
    </w:p>
    <w:p>
      <w:pPr>
        <w:pStyle w:val="BodyText"/>
      </w:pPr>
    </w:p>
    <w:p>
      <w:pPr>
        <w:pStyle w:val="BodyText"/>
      </w:pPr>
    </w:p>
    <w:p>
      <w:pPr>
        <w:pStyle w:val="BodyText"/>
      </w:pPr>
    </w:p>
    <w:p>
      <w:pPr>
        <w:pStyle w:val="BodyText"/>
      </w:pPr>
    </w:p>
    <w:p>
      <w:pPr>
        <w:pStyle w:val="BodyText"/>
        <w:spacing w:before="6"/>
        <w:rPr>
          <w:sz w:val="26"/>
        </w:rPr>
      </w:pPr>
    </w:p>
    <w:p>
      <w:pPr>
        <w:spacing w:before="0"/>
        <w:ind w:left="1329" w:right="1152" w:firstLine="0"/>
        <w:jc w:val="center"/>
        <w:rPr>
          <w:sz w:val="24"/>
        </w:rPr>
      </w:pPr>
      <w:bookmarkStart w:name="_bookmark84" w:id="85"/>
      <w:bookmarkEnd w:id="85"/>
      <w:r>
        <w:rPr/>
      </w:r>
      <w:r>
        <w:rPr>
          <w:spacing w:val="9"/>
          <w:sz w:val="24"/>
        </w:rPr>
        <w:t>图 </w:t>
      </w:r>
      <w:r>
        <w:rPr>
          <w:rFonts w:ascii="Times New Roman" w:eastAsia="Times New Roman"/>
          <w:sz w:val="24"/>
        </w:rPr>
        <w:t>17</w:t>
      </w:r>
      <w:r>
        <w:rPr>
          <w:rFonts w:ascii="Times New Roman" w:eastAsia="Times New Roman"/>
          <w:spacing w:val="69"/>
          <w:sz w:val="24"/>
        </w:rPr>
        <w:t> </w:t>
      </w:r>
      <w:r>
        <w:rPr>
          <w:spacing w:val="14"/>
          <w:sz w:val="24"/>
        </w:rPr>
        <w:t>钢材合格预测模型</w:t>
      </w:r>
    </w:p>
    <w:p>
      <w:pPr>
        <w:pStyle w:val="BodyText"/>
        <w:spacing w:before="3"/>
        <w:rPr>
          <w:sz w:val="32"/>
        </w:rPr>
      </w:pPr>
    </w:p>
    <w:p>
      <w:pPr>
        <w:pStyle w:val="BodyText"/>
        <w:ind w:left="1879"/>
      </w:pPr>
      <w:r>
        <w:rPr>
          <w:spacing w:val="-2"/>
        </w:rPr>
        <w:t>第三，在生产流程中嵌入数据实时流处理：建设产线</w:t>
      </w:r>
      <w:r>
        <w:rPr>
          <w:rFonts w:ascii="Times New Roman" w:eastAsia="Times New Roman"/>
          <w:spacing w:val="-2"/>
        </w:rPr>
        <w:t>-</w:t>
      </w:r>
      <w:r>
        <w:rPr>
          <w:spacing w:val="-2"/>
        </w:rPr>
        <w:t>车间</w:t>
      </w:r>
      <w:r>
        <w:rPr>
          <w:rFonts w:ascii="Times New Roman" w:eastAsia="Times New Roman"/>
          <w:spacing w:val="-2"/>
        </w:rPr>
        <w:t>-</w:t>
      </w:r>
      <w:r>
        <w:rPr>
          <w:spacing w:val="-6"/>
        </w:rPr>
        <w:t>钢厂</w:t>
      </w:r>
    </w:p>
    <w:p>
      <w:pPr>
        <w:pStyle w:val="BodyText"/>
        <w:spacing w:before="265"/>
        <w:ind w:left="1320"/>
      </w:pPr>
      <w:r>
        <w:rPr>
          <w:rFonts w:ascii="Times New Roman" w:eastAsia="Times New Roman"/>
          <w:spacing w:val="-2"/>
        </w:rPr>
        <w:t>3</w:t>
      </w:r>
      <w:r>
        <w:rPr>
          <w:rFonts w:ascii="Times New Roman" w:eastAsia="Times New Roman"/>
          <w:spacing w:val="11"/>
        </w:rPr>
        <w:t> </w:t>
      </w:r>
      <w:r>
        <w:rPr>
          <w:spacing w:val="-5"/>
        </w:rPr>
        <w:t>层应用联合，预测结果秒级输出，检测覆盖率 </w:t>
      </w:r>
      <w:r>
        <w:rPr>
          <w:rFonts w:ascii="Times New Roman" w:eastAsia="Times New Roman"/>
          <w:spacing w:val="-2"/>
        </w:rPr>
        <w:t>98%</w:t>
      </w:r>
      <w:r>
        <w:rPr>
          <w:spacing w:val="-10"/>
        </w:rPr>
        <w:t>。</w:t>
      </w:r>
    </w:p>
    <w:p>
      <w:pPr>
        <w:pStyle w:val="BodyText"/>
        <w:spacing w:before="265"/>
        <w:ind w:left="1879"/>
        <w:rPr>
          <w:rFonts w:ascii="黑体" w:eastAsia="黑体"/>
        </w:rPr>
      </w:pPr>
      <w:r>
        <w:rPr>
          <w:rFonts w:ascii="黑体" w:eastAsia="黑体"/>
          <w:spacing w:val="-4"/>
        </w:rPr>
        <w:t>【应用效果】</w:t>
      </w:r>
    </w:p>
    <w:p>
      <w:pPr>
        <w:pStyle w:val="BodyText"/>
        <w:rPr>
          <w:rFonts w:ascii="黑体"/>
          <w:sz w:val="20"/>
        </w:rPr>
      </w:pPr>
    </w:p>
    <w:p>
      <w:pPr>
        <w:pStyle w:val="BodyText"/>
        <w:spacing w:before="11"/>
        <w:rPr>
          <w:rFonts w:ascii="黑体"/>
          <w:sz w:val="19"/>
        </w:rPr>
      </w:pPr>
    </w:p>
    <w:p>
      <w:pPr>
        <w:spacing w:before="93"/>
        <w:ind w:left="1329" w:right="1325" w:firstLine="0"/>
        <w:jc w:val="center"/>
        <w:rPr>
          <w:rFonts w:ascii="Times New Roman"/>
          <w:sz w:val="18"/>
        </w:rPr>
      </w:pPr>
      <w:r>
        <w:rPr>
          <w:rFonts w:ascii="Times New Roman"/>
          <w:spacing w:val="-5"/>
          <w:sz w:val="18"/>
        </w:rPr>
        <w:t>92</w:t>
      </w:r>
    </w:p>
    <w:p>
      <w:pPr>
        <w:spacing w:after="0"/>
        <w:jc w:val="center"/>
        <w:rPr>
          <w:rFonts w:ascii="Times New Roman"/>
          <w:sz w:val="18"/>
        </w:rPr>
        <w:sectPr>
          <w:headerReference w:type="default" r:id="rId116"/>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firstLine="559"/>
        <w:jc w:val="both"/>
      </w:pPr>
      <w:r>
        <w:rPr>
          <w:spacing w:val="-9"/>
        </w:rPr>
        <w:t>实现了企业内不同数据源的整合，为数据的分析利用需求打下了</w:t>
      </w:r>
      <w:r>
        <w:rPr>
          <w:spacing w:val="-4"/>
        </w:rPr>
        <w:t>基础。数据源的扩充使得企业能从更多维度对客户、对企业身体，对</w:t>
      </w:r>
      <w:r>
        <w:rPr>
          <w:spacing w:val="-2"/>
        </w:rPr>
        <w:t>行业进行了解与分析。</w:t>
      </w:r>
    </w:p>
    <w:p>
      <w:pPr>
        <w:pStyle w:val="BodyText"/>
        <w:spacing w:line="417" w:lineRule="auto"/>
        <w:ind w:left="1320" w:right="1315" w:firstLine="559"/>
        <w:jc w:val="both"/>
      </w:pPr>
      <w:r>
        <w:rPr>
          <w:spacing w:val="-2"/>
        </w:rPr>
        <w:t>以质量数据为突破口，将数据管理环节嵌入到生产流程中，</w:t>
      </w:r>
      <w:r>
        <w:rPr>
          <w:rFonts w:ascii="Times New Roman" w:hAnsi="Times New Roman" w:eastAsia="Times New Roman"/>
          <w:spacing w:val="-2"/>
        </w:rPr>
        <w:t>“</w:t>
      </w:r>
      <w:r>
        <w:rPr>
          <w:spacing w:val="-2"/>
        </w:rPr>
        <w:t>边</w:t>
      </w:r>
      <w:r>
        <w:rPr>
          <w:spacing w:val="-17"/>
        </w:rPr>
        <w:t>管控，边利用</w:t>
      </w:r>
      <w:r>
        <w:rPr>
          <w:rFonts w:ascii="Times New Roman" w:hAnsi="Times New Roman" w:eastAsia="Times New Roman"/>
          <w:spacing w:val="-4"/>
        </w:rPr>
        <w:t>”</w:t>
      </w:r>
      <w:r>
        <w:rPr>
          <w:spacing w:val="-8"/>
        </w:rPr>
        <w:t>，改变了数据资产管理在业务中价值单一，难以体现，</w:t>
      </w:r>
      <w:r>
        <w:rPr>
          <w:spacing w:val="-2"/>
        </w:rPr>
        <w:t>且必须需要较长时间才能显现的固有印象。</w:t>
      </w:r>
    </w:p>
    <w:p>
      <w:pPr>
        <w:pStyle w:val="BodyText"/>
        <w:spacing w:line="417" w:lineRule="auto"/>
        <w:ind w:left="1320" w:right="1175" w:firstLine="559"/>
      </w:pPr>
      <w:r>
        <w:rPr>
          <w:spacing w:val="-10"/>
        </w:rPr>
        <w:t>引入人工智能的大数据管控，管控手段从传统的手工向自动化与</w:t>
      </w:r>
      <w:r>
        <w:rPr>
          <w:spacing w:val="-2"/>
        </w:rPr>
        <w:t>智能化迈进。在项目实施后，数据清洗处理效率，模型优化效率得到</w:t>
      </w:r>
      <w:r>
        <w:rPr>
          <w:spacing w:val="-2"/>
        </w:rPr>
        <w:t>了明显提升，而智能化管控也是企业逐步向数据化转型的关键一步，</w:t>
      </w:r>
      <w:r>
        <w:rPr>
          <w:spacing w:val="-2"/>
        </w:rPr>
        <w:t>具有里程碑意义。</w:t>
      </w:r>
    </w:p>
    <w:p>
      <w:pPr>
        <w:pStyle w:val="BodyText"/>
        <w:spacing w:line="358" w:lineRule="exact"/>
        <w:ind w:left="1879"/>
        <w:rPr>
          <w:rFonts w:ascii="黑体" w:eastAsia="黑体"/>
        </w:rPr>
      </w:pPr>
      <w:r>
        <w:rPr>
          <w:rFonts w:ascii="黑体" w:eastAsia="黑体"/>
          <w:spacing w:val="-4"/>
        </w:rPr>
        <w:t>【洞察启示】</w:t>
      </w:r>
    </w:p>
    <w:p>
      <w:pPr>
        <w:pStyle w:val="BodyText"/>
        <w:spacing w:before="8"/>
        <w:rPr>
          <w:rFonts w:ascii="黑体"/>
          <w:sz w:val="20"/>
        </w:rPr>
      </w:pPr>
    </w:p>
    <w:p>
      <w:pPr>
        <w:pStyle w:val="BodyText"/>
        <w:spacing w:line="417" w:lineRule="auto"/>
        <w:ind w:left="1320" w:right="1313" w:firstLine="559"/>
        <w:jc w:val="both"/>
      </w:pPr>
      <w:r>
        <w:rPr>
          <w:spacing w:val="-11"/>
        </w:rPr>
        <w:t>对于大型工业企业来说，数据资产管理问题通常会包括数据源管</w:t>
      </w:r>
      <w:r>
        <w:rPr>
          <w:spacing w:val="-4"/>
        </w:rPr>
        <w:t>理，如基础数据源的扩充、采集、清洗、存贮等一系列工作。数据源</w:t>
      </w:r>
      <w:r>
        <w:rPr>
          <w:spacing w:val="-2"/>
        </w:rPr>
        <w:t>的扩充是企业能够运用更先进的技术与手段使用数据的基础。</w:t>
      </w:r>
    </w:p>
    <w:p>
      <w:pPr>
        <w:pStyle w:val="BodyText"/>
        <w:spacing w:line="417" w:lineRule="auto"/>
        <w:ind w:left="1320" w:right="1177" w:firstLine="559"/>
      </w:pPr>
      <w:r>
        <w:rPr>
          <w:spacing w:val="-3"/>
        </w:rPr>
        <w:t>传统的数据质量提升价值往往仅体现于侧重 </w:t>
      </w:r>
      <w:r>
        <w:rPr>
          <w:rFonts w:ascii="Times New Roman" w:eastAsia="Times New Roman"/>
        </w:rPr>
        <w:t>OLAP</w:t>
      </w:r>
      <w:r>
        <w:rPr>
          <w:rFonts w:ascii="Times New Roman" w:eastAsia="Times New Roman"/>
          <w:spacing w:val="-18"/>
        </w:rPr>
        <w:t> </w:t>
      </w:r>
      <w:r>
        <w:rPr/>
        <w:t>的数据消费，</w:t>
      </w:r>
      <w:r>
        <w:rPr>
          <w:spacing w:val="-6"/>
        </w:rPr>
        <w:t>而随着业务在实际中对实时分析结果的依赖逐步增强，生产环节的实</w:t>
      </w:r>
      <w:r>
        <w:rPr>
          <w:spacing w:val="-7"/>
        </w:rPr>
        <w:t>时分析对基础数据的质量要求也会越来越高。数据管控的切入点需要</w:t>
      </w:r>
      <w:r>
        <w:rPr>
          <w:spacing w:val="-2"/>
        </w:rPr>
        <w:t>考虑从传统的集成后再治理往数据流前端推进。</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0"/>
        <w:ind w:left="1329" w:right="1325" w:firstLine="0"/>
        <w:jc w:val="center"/>
        <w:rPr>
          <w:rFonts w:ascii="Times New Roman"/>
          <w:sz w:val="18"/>
        </w:rPr>
      </w:pPr>
      <w:r>
        <w:rPr>
          <w:rFonts w:ascii="Times New Roman"/>
          <w:spacing w:val="-5"/>
          <w:sz w:val="18"/>
        </w:rPr>
        <w:t>93</w:t>
      </w:r>
    </w:p>
    <w:p>
      <w:pPr>
        <w:spacing w:after="0"/>
        <w:jc w:val="center"/>
        <w:rPr>
          <w:rFonts w:ascii="Times New Roman"/>
          <w:sz w:val="18"/>
        </w:rPr>
        <w:sectPr>
          <w:headerReference w:type="default" r:id="rId119"/>
          <w:pgSz w:w="11910" w:h="16840"/>
          <w:pgMar w:header="877" w:footer="0" w:top="1100" w:bottom="280" w:left="480" w:right="480"/>
        </w:sectPr>
      </w:pPr>
    </w:p>
    <w:p>
      <w:pPr>
        <w:pStyle w:val="BodyText"/>
        <w:rPr>
          <w:rFonts w:ascii="Times New Roman"/>
          <w:sz w:val="20"/>
        </w:rPr>
      </w:pPr>
    </w:p>
    <w:p>
      <w:pPr>
        <w:pStyle w:val="Heading2"/>
      </w:pPr>
      <w:bookmarkStart w:name="_bookmark85" w:id="86"/>
      <w:bookmarkEnd w:id="86"/>
      <w:r>
        <w:rPr>
          <w:b w:val="0"/>
        </w:rPr>
      </w:r>
      <w:r>
        <w:rPr>
          <w:w w:val="95"/>
        </w:rPr>
        <w:t>（</w:t>
      </w:r>
      <w:r>
        <w:rPr>
          <w:w w:val="95"/>
        </w:rPr>
        <w:t>九</w:t>
      </w:r>
      <w:r>
        <w:rPr>
          <w:w w:val="95"/>
        </w:rPr>
        <w:t>）</w:t>
      </w:r>
      <w:r>
        <w:rPr>
          <w:w w:val="95"/>
        </w:rPr>
        <w:t>湖</w:t>
      </w:r>
      <w:r>
        <w:rPr>
          <w:w w:val="95"/>
        </w:rPr>
        <w:t>北</w:t>
      </w:r>
      <w:r>
        <w:rPr>
          <w:w w:val="95"/>
        </w:rPr>
        <w:t>省物</w:t>
      </w:r>
      <w:r>
        <w:rPr>
          <w:w w:val="95"/>
        </w:rPr>
        <w:t>价</w:t>
      </w:r>
      <w:r>
        <w:rPr>
          <w:w w:val="95"/>
        </w:rPr>
        <w:t>数</w:t>
      </w:r>
      <w:r>
        <w:rPr>
          <w:w w:val="95"/>
        </w:rPr>
        <w:t>据</w:t>
      </w:r>
      <w:r>
        <w:rPr>
          <w:w w:val="95"/>
        </w:rPr>
        <w:t>资</w:t>
      </w:r>
      <w:r>
        <w:rPr>
          <w:w w:val="95"/>
        </w:rPr>
        <w:t>产</w:t>
      </w:r>
      <w:r>
        <w:rPr>
          <w:w w:val="95"/>
        </w:rPr>
        <w:t>管</w:t>
      </w:r>
      <w:r>
        <w:rPr>
          <w:spacing w:val="-4"/>
          <w:w w:val="95"/>
        </w:rPr>
        <w:t>理案例</w:t>
      </w:r>
    </w:p>
    <w:p>
      <w:pPr>
        <w:pStyle w:val="BodyText"/>
        <w:spacing w:before="7"/>
        <w:rPr>
          <w:rFonts w:ascii="楷体"/>
          <w:b/>
          <w:sz w:val="23"/>
        </w:rPr>
      </w:pPr>
    </w:p>
    <w:p>
      <w:pPr>
        <w:pStyle w:val="BodyText"/>
        <w:ind w:left="1879"/>
        <w:rPr>
          <w:rFonts w:ascii="黑体" w:eastAsia="黑体"/>
        </w:rPr>
      </w:pPr>
      <w:r>
        <w:rPr>
          <w:rFonts w:ascii="黑体" w:eastAsia="黑体"/>
          <w:spacing w:val="-3"/>
        </w:rPr>
        <w:t>【企业基本情况和数据情况】</w:t>
      </w:r>
    </w:p>
    <w:p>
      <w:pPr>
        <w:pStyle w:val="BodyText"/>
        <w:spacing w:before="9"/>
        <w:rPr>
          <w:rFonts w:ascii="黑体"/>
          <w:sz w:val="20"/>
        </w:rPr>
      </w:pPr>
    </w:p>
    <w:p>
      <w:pPr>
        <w:pStyle w:val="BodyText"/>
        <w:spacing w:line="417" w:lineRule="auto"/>
        <w:ind w:left="1320" w:right="1179" w:firstLine="559"/>
      </w:pPr>
      <w:r>
        <w:rPr>
          <w:spacing w:val="-6"/>
        </w:rPr>
        <w:t>湖北省物价局是主管全省价格工作的省政府直属机构，负责贯彻</w:t>
      </w:r>
      <w:r>
        <w:rPr>
          <w:spacing w:val="-2"/>
        </w:rPr>
        <w:t>执行国家的价格法律法规、方针政策和管理制度，负责研究提出本省</w:t>
      </w:r>
      <w:r>
        <w:rPr>
          <w:spacing w:val="-18"/>
        </w:rPr>
        <w:t>地方性价格调控目标、调控措施和相关地方性法规，并负责全省农业、</w:t>
      </w:r>
      <w:r>
        <w:rPr>
          <w:spacing w:val="-23"/>
        </w:rPr>
        <w:t>工业、交通、房地产、公共事业、中介等各方面价格工作的宏观管理、</w:t>
      </w:r>
      <w:r>
        <w:rPr>
          <w:spacing w:val="-2"/>
        </w:rPr>
        <w:t>综合平衡、价格和收费的监督检查等工作。</w:t>
      </w:r>
    </w:p>
    <w:p>
      <w:pPr>
        <w:pStyle w:val="BodyText"/>
        <w:spacing w:line="417" w:lineRule="auto"/>
        <w:ind w:left="1320" w:right="1311" w:firstLine="559"/>
        <w:jc w:val="both"/>
      </w:pPr>
      <w:r>
        <w:rPr>
          <w:spacing w:val="-2"/>
        </w:rPr>
        <w:t>湖北省进行数据资产管理是基于物价大数据平台以及省级政务</w:t>
      </w:r>
      <w:r>
        <w:rPr>
          <w:spacing w:val="-4"/>
        </w:rPr>
        <w:t>云平台基础架构开展的，通过打通局办公室、政策法规处、农产品与</w:t>
      </w:r>
      <w:r>
        <w:rPr>
          <w:spacing w:val="-24"/>
        </w:rPr>
        <w:t>医药价格处、环境与资源价格处、收费管理处、工业品与服务价格处、</w:t>
      </w:r>
      <w:r>
        <w:rPr>
          <w:spacing w:val="-4"/>
        </w:rPr>
        <w:t>人事处、机关党办、监察室、离退休干部处、价格监督检查与反垄断</w:t>
      </w:r>
      <w:r>
        <w:rPr>
          <w:spacing w:val="-4"/>
        </w:rPr>
        <w:t>分局、成本调查监审分局、后勤服务中心、价格监测中心、价格认证</w:t>
      </w:r>
      <w:r>
        <w:rPr>
          <w:spacing w:val="-24"/>
        </w:rPr>
        <w:t>中心等多个部门相关数据，先后完成决策支持、成本调查、价格监测、</w:t>
      </w:r>
      <w:r>
        <w:rPr>
          <w:spacing w:val="-4"/>
        </w:rPr>
        <w:t>移动办公、信用管理、舆情分析、效能监察等应用系统的建设，实现</w:t>
      </w:r>
      <w:r>
        <w:rPr>
          <w:spacing w:val="-4"/>
        </w:rPr>
        <w:t>了数据融合、应用的整合、深度数据挖掘分析以及智能化应用，为全</w:t>
      </w:r>
      <w:r>
        <w:rPr>
          <w:spacing w:val="-7"/>
        </w:rPr>
        <w:t>省消费者和市场主体提供全面及时的物价公共服务，同时还有效提高</w:t>
      </w:r>
      <w:r>
        <w:rPr>
          <w:spacing w:val="-2"/>
        </w:rPr>
        <w:t>物价部门工作效率和水平</w:t>
      </w:r>
    </w:p>
    <w:p>
      <w:pPr>
        <w:pStyle w:val="BodyText"/>
        <w:spacing w:line="358" w:lineRule="exact"/>
        <w:ind w:left="1879"/>
        <w:rPr>
          <w:rFonts w:ascii="黑体" w:eastAsia="黑体"/>
        </w:rPr>
      </w:pPr>
      <w:r>
        <w:rPr>
          <w:rFonts w:ascii="黑体" w:eastAsia="黑体"/>
          <w:spacing w:val="-4"/>
        </w:rPr>
        <w:t>【痛点和难点】</w:t>
      </w:r>
    </w:p>
    <w:p>
      <w:pPr>
        <w:pStyle w:val="BodyText"/>
        <w:spacing w:before="8"/>
        <w:rPr>
          <w:rFonts w:ascii="黑体"/>
          <w:sz w:val="20"/>
        </w:rPr>
      </w:pPr>
    </w:p>
    <w:p>
      <w:pPr>
        <w:pStyle w:val="BodyText"/>
        <w:spacing w:line="417" w:lineRule="auto"/>
        <w:ind w:left="1320" w:right="1311" w:firstLine="559"/>
        <w:jc w:val="both"/>
      </w:pPr>
      <w:r>
        <w:rPr>
          <w:spacing w:val="-7"/>
        </w:rPr>
        <w:t>随着计算机信息技术和网络技术的快速发展，信息化建设对政府</w:t>
      </w:r>
      <w:r>
        <w:rPr>
          <w:spacing w:val="-7"/>
        </w:rPr>
        <w:t>部门的管理水平和运营质量提出了更高的要求。信息化建设从以前的</w:t>
      </w:r>
      <w:r>
        <w:rPr>
          <w:spacing w:val="-2"/>
        </w:rPr>
        <w:t>以满足单一部门业务诉求为单位的模式变更为行业融合模式，</w:t>
      </w:r>
      <w:r>
        <w:rPr>
          <w:rFonts w:ascii="Times New Roman" w:hAnsi="Times New Roman" w:eastAsia="Times New Roman"/>
          <w:spacing w:val="-2"/>
        </w:rPr>
        <w:t>“</w:t>
      </w:r>
      <w:r>
        <w:rPr>
          <w:spacing w:val="-2"/>
        </w:rPr>
        <w:t>平台</w:t>
      </w:r>
      <w:r>
        <w:rPr/>
        <w:t>化、整合化、公开化</w:t>
      </w:r>
      <w:r>
        <w:rPr>
          <w:rFonts w:ascii="Times New Roman" w:hAnsi="Times New Roman" w:eastAsia="Times New Roman"/>
        </w:rPr>
        <w:t>”</w:t>
      </w:r>
      <w:r>
        <w:rPr>
          <w:spacing w:val="-1"/>
        </w:rPr>
        <w:t>等是政府部门电子政务方向发展的趋势。而湖</w:t>
      </w:r>
    </w:p>
    <w:p>
      <w:pPr>
        <w:spacing w:before="54"/>
        <w:ind w:left="1329" w:right="1325" w:firstLine="0"/>
        <w:jc w:val="center"/>
        <w:rPr>
          <w:rFonts w:ascii="Times New Roman"/>
          <w:sz w:val="18"/>
        </w:rPr>
      </w:pPr>
      <w:r>
        <w:rPr>
          <w:rFonts w:ascii="Times New Roman"/>
          <w:spacing w:val="-5"/>
          <w:sz w:val="18"/>
        </w:rPr>
        <w:t>94</w:t>
      </w:r>
    </w:p>
    <w:p>
      <w:pPr>
        <w:spacing w:after="0"/>
        <w:jc w:val="center"/>
        <w:rPr>
          <w:rFonts w:ascii="Times New Roman"/>
          <w:sz w:val="18"/>
        </w:rPr>
        <w:sectPr>
          <w:headerReference w:type="default" r:id="rId120"/>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8"/>
        <w:jc w:val="both"/>
      </w:pPr>
      <w:r>
        <w:rPr>
          <w:spacing w:val="-4"/>
        </w:rPr>
        <w:t>北省物价局无论从系统建设和愿景规划上，都处于落后状态，主要表</w:t>
      </w:r>
      <w:r>
        <w:rPr>
          <w:spacing w:val="-4"/>
        </w:rPr>
        <w:t>现在信息化水平薄弱、纵横向网络不够健全、缺少统一规划、缺少统</w:t>
      </w:r>
      <w:r>
        <w:rPr>
          <w:spacing w:val="-4"/>
        </w:rPr>
        <w:t>一标准约束、数据来源单一、数据资源利用率低下等方面，这些问题</w:t>
      </w:r>
      <w:r>
        <w:rPr>
          <w:spacing w:val="-7"/>
        </w:rPr>
        <w:t>严重制约了湖北省物价局的公共服务能力，使其无法有效做出科学决</w:t>
      </w:r>
      <w:r>
        <w:rPr>
          <w:spacing w:val="-6"/>
        </w:rPr>
        <w:t>策。</w:t>
      </w:r>
    </w:p>
    <w:p>
      <w:pPr>
        <w:pStyle w:val="BodyText"/>
        <w:spacing w:line="358" w:lineRule="exact"/>
        <w:ind w:left="1879"/>
        <w:rPr>
          <w:rFonts w:ascii="黑体" w:eastAsia="黑体"/>
        </w:rPr>
      </w:pPr>
      <w:r>
        <w:rPr>
          <w:rFonts w:ascii="黑体" w:eastAsia="黑体"/>
          <w:spacing w:val="-4"/>
        </w:rPr>
        <w:t>【实践路径】</w:t>
      </w:r>
    </w:p>
    <w:p>
      <w:pPr>
        <w:pStyle w:val="BodyText"/>
        <w:spacing w:before="3"/>
        <w:rPr>
          <w:rFonts w:ascii="黑体"/>
          <w:sz w:val="15"/>
        </w:rPr>
      </w:pPr>
      <w:r>
        <w:rPr/>
        <w:drawing>
          <wp:anchor distT="0" distB="0" distL="0" distR="0" allowOverlap="1" layoutInCell="1" locked="0" behindDoc="0" simplePos="0" relativeHeight="25">
            <wp:simplePos x="0" y="0"/>
            <wp:positionH relativeFrom="page">
              <wp:posOffset>2169872</wp:posOffset>
            </wp:positionH>
            <wp:positionV relativeFrom="paragraph">
              <wp:posOffset>139257</wp:posOffset>
            </wp:positionV>
            <wp:extent cx="3624111" cy="4792980"/>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122" cstate="print"/>
                    <a:stretch>
                      <a:fillRect/>
                    </a:stretch>
                  </pic:blipFill>
                  <pic:spPr>
                    <a:xfrm>
                      <a:off x="0" y="0"/>
                      <a:ext cx="3624111" cy="4792980"/>
                    </a:xfrm>
                    <a:prstGeom prst="rect">
                      <a:avLst/>
                    </a:prstGeom>
                  </pic:spPr>
                </pic:pic>
              </a:graphicData>
            </a:graphic>
          </wp:anchor>
        </w:drawing>
      </w:r>
    </w:p>
    <w:p>
      <w:pPr>
        <w:spacing w:before="248"/>
        <w:ind w:left="1329" w:right="1153" w:firstLine="0"/>
        <w:jc w:val="center"/>
        <w:rPr>
          <w:sz w:val="24"/>
        </w:rPr>
      </w:pPr>
      <w:bookmarkStart w:name="_bookmark86" w:id="87"/>
      <w:bookmarkEnd w:id="87"/>
      <w:r>
        <w:rPr/>
      </w:r>
      <w:r>
        <w:rPr>
          <w:spacing w:val="9"/>
          <w:sz w:val="24"/>
        </w:rPr>
        <w:t>图 </w:t>
      </w:r>
      <w:r>
        <w:rPr>
          <w:rFonts w:ascii="Times New Roman" w:eastAsia="Times New Roman"/>
          <w:sz w:val="24"/>
        </w:rPr>
        <w:t>18</w:t>
      </w:r>
      <w:r>
        <w:rPr>
          <w:rFonts w:ascii="Times New Roman" w:eastAsia="Times New Roman"/>
          <w:spacing w:val="69"/>
          <w:sz w:val="24"/>
        </w:rPr>
        <w:t> </w:t>
      </w:r>
      <w:r>
        <w:rPr>
          <w:spacing w:val="16"/>
          <w:sz w:val="24"/>
        </w:rPr>
        <w:t>物价大数据平台总体架构示意图</w:t>
      </w:r>
    </w:p>
    <w:p>
      <w:pPr>
        <w:pStyle w:val="BodyText"/>
        <w:spacing w:before="1"/>
        <w:rPr>
          <w:sz w:val="30"/>
        </w:rPr>
      </w:pPr>
    </w:p>
    <w:p>
      <w:pPr>
        <w:pStyle w:val="Heading3"/>
        <w:numPr>
          <w:ilvl w:val="0"/>
          <w:numId w:val="33"/>
        </w:numPr>
        <w:tabs>
          <w:tab w:pos="2259" w:val="left" w:leader="none"/>
        </w:tabs>
        <w:spacing w:line="240" w:lineRule="auto" w:before="0" w:after="0"/>
        <w:ind w:left="2258" w:right="0" w:hanging="260"/>
        <w:jc w:val="left"/>
      </w:pPr>
      <w:r>
        <w:rPr>
          <w:spacing w:val="21"/>
          <w:w w:val="95"/>
        </w:rPr>
        <w:t>数</w:t>
      </w:r>
      <w:r>
        <w:rPr>
          <w:spacing w:val="21"/>
          <w:w w:val="95"/>
        </w:rPr>
        <w:t>据</w:t>
      </w:r>
      <w:r>
        <w:rPr>
          <w:spacing w:val="21"/>
          <w:w w:val="95"/>
        </w:rPr>
        <w:t>融</w:t>
      </w:r>
      <w:r>
        <w:rPr>
          <w:spacing w:val="11"/>
          <w:w w:val="95"/>
        </w:rPr>
        <w:t>合</w:t>
      </w:r>
    </w:p>
    <w:p>
      <w:pPr>
        <w:pStyle w:val="BodyText"/>
        <w:spacing w:before="5"/>
        <w:rPr>
          <w:rFonts w:ascii="楷体"/>
          <w:sz w:val="34"/>
        </w:rPr>
      </w:pPr>
    </w:p>
    <w:p>
      <w:pPr>
        <w:pStyle w:val="BodyText"/>
        <w:ind w:left="1879"/>
      </w:pPr>
      <w:r>
        <w:rPr>
          <w:spacing w:val="-8"/>
        </w:rPr>
        <w:t>加强内部信息资源整合和信息资源的流通，加强数据标准的建设，</w:t>
      </w:r>
    </w:p>
    <w:p>
      <w:pPr>
        <w:pStyle w:val="BodyText"/>
        <w:rPr>
          <w:sz w:val="20"/>
        </w:rPr>
      </w:pPr>
    </w:p>
    <w:p>
      <w:pPr>
        <w:pStyle w:val="BodyText"/>
        <w:spacing w:before="9"/>
        <w:rPr>
          <w:sz w:val="24"/>
        </w:rPr>
      </w:pPr>
    </w:p>
    <w:p>
      <w:pPr>
        <w:spacing w:before="93"/>
        <w:ind w:left="1329" w:right="1325" w:firstLine="0"/>
        <w:jc w:val="center"/>
        <w:rPr>
          <w:rFonts w:ascii="Times New Roman"/>
          <w:sz w:val="18"/>
        </w:rPr>
      </w:pPr>
      <w:r>
        <w:rPr>
          <w:rFonts w:ascii="Times New Roman"/>
          <w:spacing w:val="-5"/>
          <w:sz w:val="18"/>
        </w:rPr>
        <w:t>95</w:t>
      </w:r>
    </w:p>
    <w:p>
      <w:pPr>
        <w:spacing w:after="0"/>
        <w:jc w:val="center"/>
        <w:rPr>
          <w:rFonts w:ascii="Times New Roman"/>
          <w:sz w:val="18"/>
        </w:rPr>
        <w:sectPr>
          <w:headerReference w:type="default" r:id="rId121"/>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3"/>
      </w:pPr>
      <w:r>
        <w:rPr>
          <w:spacing w:val="-2"/>
        </w:rPr>
        <w:t>同时结合</w:t>
      </w:r>
      <w:r>
        <w:rPr>
          <w:rFonts w:ascii="Times New Roman" w:hAnsi="Times New Roman" w:eastAsia="Times New Roman"/>
          <w:spacing w:val="-2"/>
        </w:rPr>
        <w:t>“</w:t>
      </w:r>
      <w:r>
        <w:rPr>
          <w:spacing w:val="-2"/>
        </w:rPr>
        <w:t>互联网</w:t>
      </w:r>
      <w:r>
        <w:rPr>
          <w:rFonts w:ascii="Times New Roman" w:hAnsi="Times New Roman" w:eastAsia="Times New Roman"/>
          <w:spacing w:val="-2"/>
        </w:rPr>
        <w:t>+</w:t>
      </w:r>
      <w:r>
        <w:rPr>
          <w:spacing w:val="-2"/>
        </w:rPr>
        <w:t>大数据</w:t>
      </w:r>
      <w:r>
        <w:rPr>
          <w:rFonts w:ascii="Times New Roman" w:hAnsi="Times New Roman" w:eastAsia="Times New Roman"/>
          <w:spacing w:val="-2"/>
        </w:rPr>
        <w:t>”</w:t>
      </w:r>
      <w:r>
        <w:rPr>
          <w:spacing w:val="-2"/>
        </w:rPr>
        <w:t>信息化建设新思路，进行结构化和非结构</w:t>
      </w:r>
      <w:r>
        <w:rPr>
          <w:spacing w:val="-2"/>
        </w:rPr>
        <w:t>化数据的融合</w:t>
      </w:r>
    </w:p>
    <w:p>
      <w:pPr>
        <w:pStyle w:val="Heading3"/>
        <w:numPr>
          <w:ilvl w:val="0"/>
          <w:numId w:val="33"/>
        </w:numPr>
        <w:tabs>
          <w:tab w:pos="2203" w:val="left" w:leader="none"/>
        </w:tabs>
        <w:spacing w:line="382" w:lineRule="exact" w:before="0" w:after="0"/>
        <w:ind w:left="2202" w:right="0" w:hanging="242"/>
        <w:jc w:val="left"/>
      </w:pPr>
      <w:r>
        <w:rPr>
          <w:w w:val="95"/>
        </w:rPr>
        <w:t>应</w:t>
      </w:r>
      <w:r>
        <w:rPr>
          <w:w w:val="95"/>
        </w:rPr>
        <w:t>用</w:t>
      </w:r>
      <w:r>
        <w:rPr>
          <w:w w:val="95"/>
        </w:rPr>
        <w:t>融</w:t>
      </w:r>
      <w:r>
        <w:rPr>
          <w:spacing w:val="-10"/>
          <w:w w:val="95"/>
        </w:rPr>
        <w:t>合</w:t>
      </w:r>
    </w:p>
    <w:p>
      <w:pPr>
        <w:pStyle w:val="BodyText"/>
        <w:spacing w:line="417" w:lineRule="auto" w:before="242"/>
        <w:ind w:left="1320" w:right="1179" w:firstLine="559"/>
      </w:pPr>
      <w:r>
        <w:rPr>
          <w:spacing w:val="-7"/>
        </w:rPr>
        <w:t>从内部业务运用支撑和外部服务应用着手，结合顶层设计思路统</w:t>
      </w:r>
      <w:r>
        <w:rPr>
          <w:spacing w:val="-15"/>
        </w:rPr>
        <w:t>一进行大数据应用的规划和设计，全力打造面向管理人员、社会公众、</w:t>
      </w:r>
      <w:r>
        <w:rPr>
          <w:spacing w:val="-2"/>
        </w:rPr>
        <w:t>政府机关单位等各方数据服务对象的决策支持系统。</w:t>
      </w:r>
    </w:p>
    <w:p>
      <w:pPr>
        <w:pStyle w:val="Heading3"/>
        <w:numPr>
          <w:ilvl w:val="0"/>
          <w:numId w:val="33"/>
        </w:numPr>
        <w:tabs>
          <w:tab w:pos="2203" w:val="left" w:leader="none"/>
        </w:tabs>
        <w:spacing w:line="382" w:lineRule="exact" w:before="0" w:after="0"/>
        <w:ind w:left="2202" w:right="0" w:hanging="242"/>
        <w:jc w:val="left"/>
      </w:pPr>
      <w:r>
        <w:rPr>
          <w:w w:val="95"/>
        </w:rPr>
        <w:t>深</w:t>
      </w:r>
      <w:r>
        <w:rPr>
          <w:w w:val="95"/>
        </w:rPr>
        <w:t>度</w:t>
      </w:r>
      <w:r>
        <w:rPr>
          <w:w w:val="95"/>
        </w:rPr>
        <w:t>挖</w:t>
      </w:r>
      <w:r>
        <w:rPr>
          <w:w w:val="95"/>
        </w:rPr>
        <w:t>掘</w:t>
      </w:r>
      <w:r>
        <w:rPr>
          <w:w w:val="95"/>
        </w:rPr>
        <w:t>与</w:t>
      </w:r>
      <w:r>
        <w:rPr>
          <w:w w:val="95"/>
        </w:rPr>
        <w:t>分</w:t>
      </w:r>
      <w:r>
        <w:rPr>
          <w:spacing w:val="-10"/>
          <w:w w:val="95"/>
        </w:rPr>
        <w:t>析</w:t>
      </w:r>
    </w:p>
    <w:p>
      <w:pPr>
        <w:pStyle w:val="BodyText"/>
        <w:spacing w:line="417" w:lineRule="auto" w:before="242"/>
        <w:ind w:left="1320" w:right="1315" w:firstLine="559"/>
        <w:jc w:val="both"/>
      </w:pPr>
      <w:r>
        <w:rPr>
          <w:spacing w:val="-5"/>
        </w:rPr>
        <w:t>加强数据资源的有效利用，深度挖掘数据的潜在价值，为各项政</w:t>
      </w:r>
      <w:r>
        <w:rPr>
          <w:spacing w:val="-7"/>
        </w:rPr>
        <w:t>策的制定和执行推广提供宝贵的数据依据。依托大数据技术和商业智</w:t>
      </w:r>
      <w:r>
        <w:rPr>
          <w:spacing w:val="-4"/>
        </w:rPr>
        <w:t>能分析工具，充分利用互联网相关价格数据、社会舆情信息、价格成</w:t>
      </w:r>
      <w:r>
        <w:rPr>
          <w:spacing w:val="-4"/>
        </w:rPr>
        <w:t>本数据、交易数据、价格规范标准等信息数据，提供及时可靠的价格</w:t>
      </w:r>
      <w:r>
        <w:rPr>
          <w:spacing w:val="-4"/>
        </w:rPr>
        <w:t>预测分析、价格预警分析、舆情热点分析、反欺诈反垄断行为分析等</w:t>
      </w:r>
      <w:r>
        <w:rPr>
          <w:spacing w:val="-2"/>
        </w:rPr>
        <w:t>应用分析，将事后监管逐渐延伸的事中监管和事前防范。</w:t>
      </w:r>
    </w:p>
    <w:p>
      <w:pPr>
        <w:pStyle w:val="Heading3"/>
        <w:numPr>
          <w:ilvl w:val="0"/>
          <w:numId w:val="33"/>
        </w:numPr>
        <w:tabs>
          <w:tab w:pos="2203" w:val="left" w:leader="none"/>
        </w:tabs>
        <w:spacing w:line="381" w:lineRule="exact" w:before="0" w:after="0"/>
        <w:ind w:left="2202" w:right="0" w:hanging="242"/>
        <w:jc w:val="left"/>
      </w:pPr>
      <w:r>
        <w:rPr>
          <w:w w:val="95"/>
        </w:rPr>
        <w:t>智</w:t>
      </w:r>
      <w:r>
        <w:rPr>
          <w:w w:val="95"/>
        </w:rPr>
        <w:t>能</w:t>
      </w:r>
      <w:r>
        <w:rPr>
          <w:spacing w:val="-10"/>
          <w:w w:val="95"/>
        </w:rPr>
        <w:t>化</w:t>
      </w:r>
    </w:p>
    <w:p>
      <w:pPr>
        <w:pStyle w:val="BodyText"/>
        <w:spacing w:before="242"/>
        <w:ind w:left="1879"/>
      </w:pPr>
      <w:r>
        <w:rPr>
          <w:spacing w:val="-3"/>
        </w:rPr>
        <w:t>通过智能化的应用手段，优化办公效率，服务于公众。</w:t>
      </w:r>
    </w:p>
    <w:p>
      <w:pPr>
        <w:pStyle w:val="BodyText"/>
        <w:spacing w:before="8"/>
        <w:rPr>
          <w:sz w:val="20"/>
        </w:rPr>
      </w:pPr>
    </w:p>
    <w:p>
      <w:pPr>
        <w:pStyle w:val="ListParagraph"/>
        <w:numPr>
          <w:ilvl w:val="0"/>
          <w:numId w:val="34"/>
        </w:numPr>
        <w:tabs>
          <w:tab w:pos="2587" w:val="left" w:leader="none"/>
        </w:tabs>
        <w:spacing w:line="417" w:lineRule="auto" w:before="1" w:after="0"/>
        <w:ind w:left="1320" w:right="1318" w:firstLine="559"/>
        <w:jc w:val="left"/>
        <w:rPr>
          <w:sz w:val="28"/>
        </w:rPr>
      </w:pPr>
      <w:r>
        <w:rPr>
          <w:spacing w:val="-2"/>
          <w:sz w:val="28"/>
        </w:rPr>
        <w:t>定期发布市民生活必需品、住房、医疗、教育、收费标准</w:t>
      </w:r>
      <w:r>
        <w:rPr>
          <w:spacing w:val="-2"/>
          <w:sz w:val="28"/>
        </w:rPr>
        <w:t>等多方面的价格服务，为市民生活消费提供智能化的价格指导。</w:t>
      </w:r>
    </w:p>
    <w:p>
      <w:pPr>
        <w:pStyle w:val="ListParagraph"/>
        <w:numPr>
          <w:ilvl w:val="0"/>
          <w:numId w:val="34"/>
        </w:numPr>
        <w:tabs>
          <w:tab w:pos="2587" w:val="left" w:leader="none"/>
        </w:tabs>
        <w:spacing w:line="417" w:lineRule="auto" w:before="0" w:after="0"/>
        <w:ind w:left="1320" w:right="1175" w:firstLine="559"/>
        <w:jc w:val="left"/>
        <w:rPr>
          <w:sz w:val="28"/>
        </w:rPr>
      </w:pPr>
      <w:r>
        <w:rPr>
          <w:spacing w:val="-2"/>
          <w:sz w:val="28"/>
        </w:rPr>
        <w:t>提供统计分析数据，实现政务决策智能化，建立决策逻辑</w:t>
      </w:r>
      <w:r>
        <w:rPr>
          <w:spacing w:val="-2"/>
          <w:sz w:val="28"/>
        </w:rPr>
        <w:t>模型，输出决策建议；实现督查智能化，建立绿灯提醒、黄灯警示、</w:t>
      </w:r>
      <w:r>
        <w:rPr>
          <w:spacing w:val="-2"/>
          <w:sz w:val="28"/>
        </w:rPr>
        <w:t>红灯督查的内部管理机制；实现考核智能化，按照各单位、各部门的</w:t>
      </w:r>
      <w:r>
        <w:rPr>
          <w:spacing w:val="-2"/>
          <w:sz w:val="28"/>
        </w:rPr>
        <w:t>绩效考核方法建立基于数据的考核体系。</w:t>
      </w:r>
    </w:p>
    <w:p>
      <w:pPr>
        <w:pStyle w:val="ListParagraph"/>
        <w:numPr>
          <w:ilvl w:val="0"/>
          <w:numId w:val="34"/>
        </w:numPr>
        <w:tabs>
          <w:tab w:pos="2587" w:val="left" w:leader="none"/>
        </w:tabs>
        <w:spacing w:line="358" w:lineRule="exact" w:before="0" w:after="0"/>
        <w:ind w:left="2586" w:right="0" w:hanging="708"/>
        <w:jc w:val="left"/>
        <w:rPr>
          <w:sz w:val="28"/>
        </w:rPr>
      </w:pPr>
      <w:r>
        <w:rPr>
          <w:spacing w:val="-1"/>
          <w:sz w:val="28"/>
        </w:rPr>
        <w:t>通过移动采集、移动办公等智能终端平台，服务于监测点</w:t>
      </w:r>
    </w:p>
    <w:p>
      <w:pPr>
        <w:pStyle w:val="BodyText"/>
        <w:spacing w:before="4"/>
        <w:rPr>
          <w:sz w:val="22"/>
        </w:rPr>
      </w:pPr>
    </w:p>
    <w:p>
      <w:pPr>
        <w:spacing w:before="93"/>
        <w:ind w:left="1329" w:right="1325" w:firstLine="0"/>
        <w:jc w:val="center"/>
        <w:rPr>
          <w:rFonts w:ascii="Times New Roman"/>
          <w:sz w:val="18"/>
        </w:rPr>
      </w:pPr>
      <w:r>
        <w:rPr>
          <w:rFonts w:ascii="Times New Roman"/>
          <w:spacing w:val="-5"/>
          <w:sz w:val="18"/>
        </w:rPr>
        <w:t>96</w:t>
      </w:r>
    </w:p>
    <w:p>
      <w:pPr>
        <w:spacing w:after="0"/>
        <w:jc w:val="center"/>
        <w:rPr>
          <w:rFonts w:ascii="Times New Roman"/>
          <w:sz w:val="18"/>
        </w:rPr>
        <w:sectPr>
          <w:headerReference w:type="default" r:id="rId123"/>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037"/>
      </w:pPr>
      <w:r>
        <w:rPr>
          <w:spacing w:val="-12"/>
        </w:rPr>
        <w:t>数据的上报和查阅，为价格数据的及时性和准确性提供更有效的保障，</w:t>
      </w:r>
      <w:r>
        <w:rPr>
          <w:spacing w:val="-2"/>
        </w:rPr>
        <w:t>服务于内部工作人员，满足日常通信、审批公文、待办事项查阅等快</w:t>
      </w:r>
      <w:r>
        <w:rPr>
          <w:spacing w:val="-2"/>
        </w:rPr>
        <w:t> </w:t>
      </w:r>
      <w:r>
        <w:rPr>
          <w:spacing w:val="-2"/>
        </w:rPr>
        <w:t>捷办公需求。</w:t>
      </w:r>
    </w:p>
    <w:p>
      <w:pPr>
        <w:pStyle w:val="BodyText"/>
        <w:spacing w:line="358" w:lineRule="exact"/>
        <w:ind w:left="1879"/>
        <w:rPr>
          <w:rFonts w:ascii="黑体" w:eastAsia="黑体"/>
        </w:rPr>
      </w:pPr>
      <w:r>
        <w:rPr>
          <w:rFonts w:ascii="黑体" w:eastAsia="黑体"/>
          <w:spacing w:val="-4"/>
        </w:rPr>
        <w:t>【应用效果】</w:t>
      </w:r>
    </w:p>
    <w:p>
      <w:pPr>
        <w:pStyle w:val="Heading3"/>
        <w:numPr>
          <w:ilvl w:val="1"/>
          <w:numId w:val="34"/>
        </w:numPr>
        <w:tabs>
          <w:tab w:pos="2203" w:val="left" w:leader="none"/>
        </w:tabs>
        <w:spacing w:line="240" w:lineRule="auto" w:before="237" w:after="0"/>
        <w:ind w:left="2202" w:right="0" w:hanging="242"/>
        <w:jc w:val="left"/>
      </w:pPr>
      <w:r>
        <w:rPr>
          <w:w w:val="95"/>
        </w:rPr>
        <w:t>效</w:t>
      </w:r>
      <w:r>
        <w:rPr>
          <w:w w:val="95"/>
        </w:rPr>
        <w:t>率</w:t>
      </w:r>
      <w:r>
        <w:rPr>
          <w:w w:val="95"/>
        </w:rPr>
        <w:t>提</w:t>
      </w:r>
      <w:r>
        <w:rPr>
          <w:spacing w:val="-10"/>
          <w:w w:val="95"/>
        </w:rPr>
        <w:t>升</w:t>
      </w:r>
    </w:p>
    <w:p>
      <w:pPr>
        <w:pStyle w:val="BodyText"/>
        <w:spacing w:line="417" w:lineRule="auto" w:before="242"/>
        <w:ind w:left="1320" w:right="1314" w:firstLine="559"/>
        <w:jc w:val="both"/>
      </w:pPr>
      <w:r>
        <w:rPr>
          <w:spacing w:val="-6"/>
        </w:rPr>
        <w:t>通过大数据平台建立起面向全省范围内的物价信息的共享、交换</w:t>
      </w:r>
      <w:r>
        <w:rPr>
          <w:spacing w:val="-8"/>
        </w:rPr>
        <w:t>和应用体系，减少了重复性工作，工作效率提升 </w:t>
      </w:r>
      <w:r>
        <w:rPr>
          <w:rFonts w:ascii="Times New Roman" w:eastAsia="Times New Roman"/>
          <w:spacing w:val="-6"/>
        </w:rPr>
        <w:t>70%</w:t>
      </w:r>
      <w:r>
        <w:rPr>
          <w:spacing w:val="-6"/>
        </w:rPr>
        <w:t>，总体行政成本</w:t>
      </w:r>
      <w:r>
        <w:rPr>
          <w:spacing w:val="-15"/>
        </w:rPr>
        <w:t>降低 </w:t>
      </w:r>
      <w:r>
        <w:rPr>
          <w:rFonts w:ascii="Times New Roman" w:eastAsia="Times New Roman"/>
        </w:rPr>
        <w:t>50%</w:t>
      </w:r>
      <w:r>
        <w:rPr/>
        <w:t>。</w:t>
      </w:r>
    </w:p>
    <w:p>
      <w:pPr>
        <w:pStyle w:val="Heading3"/>
        <w:numPr>
          <w:ilvl w:val="1"/>
          <w:numId w:val="34"/>
        </w:numPr>
        <w:tabs>
          <w:tab w:pos="2203" w:val="left" w:leader="none"/>
        </w:tabs>
        <w:spacing w:line="382" w:lineRule="exact" w:before="0" w:after="0"/>
        <w:ind w:left="2202" w:right="0" w:hanging="242"/>
        <w:jc w:val="left"/>
      </w:pPr>
      <w:r>
        <w:rPr>
          <w:w w:val="95"/>
        </w:rPr>
        <w:t>智</w:t>
      </w:r>
      <w:r>
        <w:rPr>
          <w:w w:val="95"/>
        </w:rPr>
        <w:t>慧</w:t>
      </w:r>
      <w:r>
        <w:rPr>
          <w:w w:val="95"/>
        </w:rPr>
        <w:t>生</w:t>
      </w:r>
      <w:r>
        <w:rPr>
          <w:spacing w:val="-10"/>
          <w:w w:val="95"/>
        </w:rPr>
        <w:t>活</w:t>
      </w:r>
    </w:p>
    <w:p>
      <w:pPr>
        <w:pStyle w:val="BodyText"/>
        <w:spacing w:line="417" w:lineRule="auto" w:before="242"/>
        <w:ind w:left="1320" w:right="1316" w:firstLine="559"/>
        <w:jc w:val="both"/>
      </w:pPr>
      <w:r>
        <w:rPr>
          <w:spacing w:val="-7"/>
        </w:rPr>
        <w:t>通过对各类商品价格信息的统计分析预测，为市民提供衣食住行</w:t>
      </w:r>
      <w:r>
        <w:rPr>
          <w:spacing w:val="-4"/>
        </w:rPr>
        <w:t>等多方面的价格服务，帮助市民随时掌握市场行情和价格动态，为生</w:t>
      </w:r>
      <w:r>
        <w:rPr>
          <w:spacing w:val="-4"/>
        </w:rPr>
        <w:t>活消费提供智慧支持。同时智能监控市场价格动态，保障价格总水平</w:t>
      </w:r>
      <w:r>
        <w:rPr>
          <w:spacing w:val="-2"/>
        </w:rPr>
        <w:t>的基本稳定，营造良好的价格环境。</w:t>
      </w:r>
    </w:p>
    <w:p>
      <w:pPr>
        <w:pStyle w:val="Heading3"/>
        <w:numPr>
          <w:ilvl w:val="1"/>
          <w:numId w:val="34"/>
        </w:numPr>
        <w:tabs>
          <w:tab w:pos="2203" w:val="left" w:leader="none"/>
        </w:tabs>
        <w:spacing w:line="381" w:lineRule="exact" w:before="0" w:after="0"/>
        <w:ind w:left="2202" w:right="0" w:hanging="242"/>
        <w:jc w:val="left"/>
      </w:pPr>
      <w:r>
        <w:rPr>
          <w:w w:val="95"/>
        </w:rPr>
        <w:t>企</w:t>
      </w:r>
      <w:r>
        <w:rPr>
          <w:w w:val="95"/>
        </w:rPr>
        <w:t>业</w:t>
      </w:r>
      <w:r>
        <w:rPr>
          <w:w w:val="95"/>
        </w:rPr>
        <w:t>发</w:t>
      </w:r>
      <w:r>
        <w:rPr>
          <w:spacing w:val="-10"/>
          <w:w w:val="95"/>
        </w:rPr>
        <w:t>展</w:t>
      </w:r>
    </w:p>
    <w:p>
      <w:pPr>
        <w:pStyle w:val="BodyText"/>
        <w:spacing w:line="417" w:lineRule="auto" w:before="242"/>
        <w:ind w:left="1320" w:right="1316" w:firstLine="559"/>
        <w:jc w:val="both"/>
      </w:pPr>
      <w:r>
        <w:rPr>
          <w:spacing w:val="-6"/>
        </w:rPr>
        <w:t>通过内部系统与外部发布平台联动实现收费信息的及时公示，畅</w:t>
      </w:r>
      <w:r>
        <w:rPr>
          <w:spacing w:val="-4"/>
        </w:rPr>
        <w:t>通企业获取收费信息渠道，杜绝乱收费、乱摊派现象，为反价格垄断</w:t>
      </w:r>
      <w:r>
        <w:rPr>
          <w:spacing w:val="-4"/>
        </w:rPr>
        <w:t>和欺诈提供重要的数据支撑，减少价格欺诈和诈骗行为。同时，越来</w:t>
      </w:r>
      <w:r>
        <w:rPr>
          <w:spacing w:val="-4"/>
        </w:rPr>
        <w:t>越多的企业谋求自身发展，积极参与价格诚信建设，树立了良好的社</w:t>
      </w:r>
      <w:r>
        <w:rPr>
          <w:spacing w:val="-4"/>
        </w:rPr>
        <w:t>会现象。</w:t>
      </w:r>
    </w:p>
    <w:p>
      <w:pPr>
        <w:pStyle w:val="BodyText"/>
        <w:spacing w:line="358" w:lineRule="exact"/>
        <w:ind w:left="1879"/>
        <w:rPr>
          <w:rFonts w:ascii="黑体" w:eastAsia="黑体"/>
        </w:rPr>
      </w:pPr>
      <w:r>
        <w:rPr>
          <w:rFonts w:ascii="黑体" w:eastAsia="黑体"/>
          <w:spacing w:val="-4"/>
        </w:rPr>
        <w:t>【洞察启示】</w:t>
      </w:r>
    </w:p>
    <w:p>
      <w:pPr>
        <w:pStyle w:val="BodyText"/>
        <w:spacing w:before="9"/>
        <w:rPr>
          <w:rFonts w:ascii="黑体"/>
          <w:sz w:val="20"/>
        </w:rPr>
      </w:pPr>
    </w:p>
    <w:p>
      <w:pPr>
        <w:pStyle w:val="BodyText"/>
        <w:spacing w:line="417" w:lineRule="auto"/>
        <w:ind w:left="1320" w:right="1316" w:firstLine="559"/>
      </w:pPr>
      <w:r>
        <w:rPr>
          <w:spacing w:val="-2"/>
        </w:rPr>
        <w:t>湖北省物价局围绕使市场在资源配置中起决定性作用和更好发</w:t>
      </w:r>
      <w:r>
        <w:rPr>
          <w:spacing w:val="-7"/>
        </w:rPr>
        <w:t>挥政府作用，推进简政放权和政府职能转变，以社会信用体系建设和</w:t>
      </w:r>
    </w:p>
    <w:p>
      <w:pPr>
        <w:pStyle w:val="BodyText"/>
        <w:spacing w:before="9"/>
        <w:rPr>
          <w:sz w:val="18"/>
        </w:rPr>
      </w:pPr>
    </w:p>
    <w:p>
      <w:pPr>
        <w:spacing w:before="92"/>
        <w:ind w:left="1329" w:right="1325" w:firstLine="0"/>
        <w:jc w:val="center"/>
        <w:rPr>
          <w:rFonts w:ascii="Times New Roman"/>
          <w:sz w:val="18"/>
        </w:rPr>
      </w:pPr>
      <w:r>
        <w:rPr>
          <w:rFonts w:ascii="Times New Roman"/>
          <w:spacing w:val="-5"/>
          <w:sz w:val="18"/>
        </w:rPr>
        <w:t>97</w:t>
      </w:r>
    </w:p>
    <w:p>
      <w:pPr>
        <w:spacing w:after="0"/>
        <w:jc w:val="center"/>
        <w:rPr>
          <w:rFonts w:ascii="Times New Roman"/>
          <w:sz w:val="18"/>
        </w:rPr>
        <w:sectPr>
          <w:headerReference w:type="default" r:id="rId124"/>
          <w:pgSz w:w="11910" w:h="16840"/>
          <w:pgMar w:header="877" w:footer="0" w:top="1100" w:bottom="280" w:left="480" w:right="480"/>
        </w:sectPr>
      </w:pPr>
    </w:p>
    <w:p>
      <w:pPr>
        <w:pStyle w:val="BodyText"/>
        <w:rPr>
          <w:rFonts w:ascii="Times New Roman"/>
          <w:sz w:val="20"/>
        </w:rPr>
      </w:pPr>
    </w:p>
    <w:p>
      <w:pPr>
        <w:pStyle w:val="BodyText"/>
        <w:spacing w:line="417" w:lineRule="auto" w:before="225"/>
        <w:ind w:left="1320" w:right="1315"/>
        <w:jc w:val="both"/>
      </w:pPr>
      <w:r>
        <w:rPr>
          <w:spacing w:val="-4"/>
        </w:rPr>
        <w:t>政府信息公开、数据开放为抓手，充分运用大数据、云计算等现代信</w:t>
      </w:r>
      <w:r>
        <w:rPr>
          <w:spacing w:val="-24"/>
        </w:rPr>
        <w:t>息技术，提高政府服务水平，加强事中事后监管，维护市场正常秩序，</w:t>
      </w:r>
      <w:r>
        <w:rPr>
          <w:spacing w:val="-4"/>
        </w:rPr>
        <w:t>促进市场公平竞争，释放市场主体活力，进一步优化了湖北经济社会</w:t>
      </w:r>
      <w:r>
        <w:rPr>
          <w:spacing w:val="-2"/>
        </w:rPr>
        <w:t>发展环境。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92"/>
        <w:ind w:left="1329" w:right="1325" w:firstLine="0"/>
        <w:jc w:val="center"/>
        <w:rPr>
          <w:rFonts w:ascii="Times New Roman"/>
          <w:sz w:val="18"/>
        </w:rPr>
      </w:pPr>
      <w:r>
        <w:rPr>
          <w:rFonts w:ascii="Times New Roman"/>
          <w:spacing w:val="-5"/>
          <w:sz w:val="18"/>
        </w:rPr>
        <w:t>98</w:t>
      </w:r>
    </w:p>
    <w:p>
      <w:pPr>
        <w:spacing w:after="0"/>
        <w:jc w:val="center"/>
        <w:rPr>
          <w:rFonts w:ascii="Times New Roman"/>
          <w:sz w:val="18"/>
        </w:rPr>
        <w:sectPr>
          <w:headerReference w:type="default" r:id="rId125"/>
          <w:pgSz w:w="11910" w:h="16840"/>
          <w:pgMar w:header="877" w:footer="0" w:top="1100" w:bottom="280" w:left="480" w:right="4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pStyle w:val="BodyText"/>
        <w:ind w:left="112"/>
        <w:rPr>
          <w:rFonts w:ascii="Times New Roman"/>
          <w:sz w:val="20"/>
        </w:rPr>
      </w:pPr>
      <w:r>
        <w:rPr>
          <w:rFonts w:ascii="Times New Roman"/>
          <w:sz w:val="20"/>
        </w:rPr>
        <w:drawing>
          <wp:inline distT="0" distB="0" distL="0" distR="0">
            <wp:extent cx="4320177" cy="5763768"/>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127" cstate="print"/>
                    <a:stretch>
                      <a:fillRect/>
                    </a:stretch>
                  </pic:blipFill>
                  <pic:spPr>
                    <a:xfrm>
                      <a:off x="0" y="0"/>
                      <a:ext cx="4320177" cy="5763768"/>
                    </a:xfrm>
                    <a:prstGeom prst="rect">
                      <a:avLst/>
                    </a:prstGeom>
                  </pic:spPr>
                </pic:pic>
              </a:graphicData>
            </a:graphic>
          </wp:inline>
        </w:drawing>
      </w:r>
      <w:r>
        <w:rPr>
          <w:rFonts w:ascii="Times New Roman"/>
          <w:sz w:val="20"/>
        </w:rPr>
      </w:r>
    </w:p>
    <w:sectPr>
      <w:headerReference w:type="default" r:id="rId126"/>
      <w:pgSz w:w="12250" w:h="16500"/>
      <w:pgMar w:header="0" w:footer="0" w:top="1560" w:bottom="280" w:left="10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黑体">
    <w:altName w:val="黑体"/>
    <w:charset w:val="86"/>
    <w:family w:val="modern"/>
    <w:pitch w:val="fixed"/>
  </w:font>
  <w:font w:name="仿宋">
    <w:altName w:val="仿宋"/>
    <w:charset w:val="86"/>
    <w:family w:val="modern"/>
    <w:pitch w:val="fixed"/>
  </w:font>
  <w:font w:name="楷体">
    <w:altName w:val="楷体"/>
    <w:charset w:val="86"/>
    <w:family w:val="modern"/>
    <w:pitch w:val="fixed"/>
  </w:font>
  <w:font w:name="宋体">
    <w:altName w:val="宋体"/>
    <w:charset w:val="86"/>
    <w:family w:val="auto"/>
    <w:pitch w:val="variable"/>
  </w:font>
  <w:font w:name="Georgia">
    <w:altName w:val="Georgia"/>
    <w:charset w:val="0"/>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15552" id="docshape9"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89.024002pt;margin-top:42.865608pt;width:132.7pt;height:12pt;mso-position-horizontal-relative:page;mso-position-vertical-relative:page;z-index:-17815040" type="#_x0000_t202" id="docshape1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814528" type="#_x0000_t202" id="docshape1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1728" id="docshape40" filled="true" fillcolor="#000000" stroked="false">
          <v:fill type="solid"/>
          <w10:wrap type="none"/>
        </v:rect>
      </w:pict>
    </w:r>
    <w:r>
      <w:rPr/>
      <w:pict>
        <v:shape style="position:absolute;margin-left:89.024002pt;margin-top:42.865608pt;width:173.4pt;height:12pt;mso-position-horizontal-relative:page;mso-position-vertical-relative:page;z-index:-17801216" type="#_x0000_t202" id="docshape4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800704" type="#_x0000_t202" id="docshape4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0192" id="docshape44" filled="true" fillcolor="#000000" stroked="false">
          <v:fill type="solid"/>
          <w10:wrap type="none"/>
        </v:rect>
      </w:pict>
    </w:r>
    <w:r>
      <w:rPr/>
      <w:pict>
        <v:shape style="position:absolute;margin-left:89.024002pt;margin-top:42.865608pt;width:132.7pt;height:12pt;mso-position-horizontal-relative:page;mso-position-vertical-relative:page;z-index:-17799680" type="#_x0000_t202" id="docshape45"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99168" type="#_x0000_t202" id="docshape46"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8656" id="docshape47" filled="true" fillcolor="#000000" stroked="false">
          <v:fill type="solid"/>
          <w10:wrap type="none"/>
        </v:rect>
      </w:pict>
    </w:r>
    <w:r>
      <w:rPr/>
      <w:pict>
        <v:shape style="position:absolute;margin-left:89.024002pt;margin-top:42.865608pt;width:173.4pt;height:12pt;mso-position-horizontal-relative:page;mso-position-vertical-relative:page;z-index:-17798144" type="#_x0000_t202" id="docshape48"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97632" type="#_x0000_t202" id="docshape49"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7120" id="docshape50" filled="true" fillcolor="#000000" stroked="false">
          <v:fill type="solid"/>
          <w10:wrap type="none"/>
        </v:rect>
      </w:pict>
    </w:r>
    <w:r>
      <w:rPr/>
      <w:pict>
        <v:shape style="position:absolute;margin-left:89.024002pt;margin-top:42.865608pt;width:132.7pt;height:12pt;mso-position-horizontal-relative:page;mso-position-vertical-relative:page;z-index:-17796608" type="#_x0000_t202" id="docshape51"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96096" type="#_x0000_t202" id="docshape52"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5584" id="docshape53" filled="true" fillcolor="#000000" stroked="false">
          <v:fill type="solid"/>
          <w10:wrap type="none"/>
        </v:rect>
      </w:pict>
    </w:r>
    <w:r>
      <w:rPr/>
      <w:pict>
        <v:shape style="position:absolute;margin-left:89.024002pt;margin-top:42.865608pt;width:173.4pt;height:12pt;mso-position-horizontal-relative:page;mso-position-vertical-relative:page;z-index:-17795072" type="#_x0000_t202" id="docshape54"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94560" type="#_x0000_t202" id="docshape55"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4048" id="docshape56" filled="true" fillcolor="#000000" stroked="false">
          <v:fill type="solid"/>
          <w10:wrap type="none"/>
        </v:rect>
      </w:pict>
    </w:r>
    <w:r>
      <w:rPr/>
      <w:pict>
        <v:shape style="position:absolute;margin-left:89.024002pt;margin-top:42.865608pt;width:132.7pt;height:12pt;mso-position-horizontal-relative:page;mso-position-vertical-relative:page;z-index:-17793536" type="#_x0000_t202" id="docshape57"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93024" type="#_x0000_t202" id="docshape58"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2512" id="docshape59" filled="true" fillcolor="#000000" stroked="false">
          <v:fill type="solid"/>
          <w10:wrap type="none"/>
        </v:rect>
      </w:pict>
    </w:r>
    <w:r>
      <w:rPr/>
      <w:pict>
        <v:shape style="position:absolute;margin-left:89.024002pt;margin-top:42.865608pt;width:173.4pt;height:12pt;mso-position-horizontal-relative:page;mso-position-vertical-relative:page;z-index:-17792000" type="#_x0000_t202" id="docshape60"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91488" type="#_x0000_t202" id="docshape61"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90976" id="docshape62" filled="true" fillcolor="#000000" stroked="false">
          <v:fill type="solid"/>
          <w10:wrap type="none"/>
        </v:rect>
      </w:pict>
    </w:r>
    <w:r>
      <w:rPr/>
      <w:pict>
        <v:shape style="position:absolute;margin-left:89.024002pt;margin-top:42.865608pt;width:132.7pt;height:12pt;mso-position-horizontal-relative:page;mso-position-vertical-relative:page;z-index:-17790464" type="#_x0000_t202" id="docshape63"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89952" type="#_x0000_t202" id="docshape64"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9440" id="docshape65" filled="true" fillcolor="#000000" stroked="false">
          <v:fill type="solid"/>
          <w10:wrap type="none"/>
        </v:rect>
      </w:pict>
    </w:r>
    <w:r>
      <w:rPr/>
      <w:pict>
        <v:shape style="position:absolute;margin-left:89.024002pt;margin-top:42.865608pt;width:173.4pt;height:12pt;mso-position-horizontal-relative:page;mso-position-vertical-relative:page;z-index:-17788928" type="#_x0000_t202" id="docshape66"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88416" type="#_x0000_t202" id="docshape67"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7904" id="docshape68" filled="true" fillcolor="#000000" stroked="false">
          <v:fill type="solid"/>
          <w10:wrap type="none"/>
        </v:rect>
      </w:pict>
    </w:r>
    <w:r>
      <w:rPr/>
      <w:pict>
        <v:shape style="position:absolute;margin-left:89.024002pt;margin-top:42.865608pt;width:132.7pt;height:12pt;mso-position-horizontal-relative:page;mso-position-vertical-relative:page;z-index:-17787392" type="#_x0000_t202" id="docshape69"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86880" type="#_x0000_t202" id="docshape70"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14016" id="docshape12" filled="true" fillcolor="#000000" stroked="false">
          <v:fill type="solid"/>
          <w10:wrap type="none"/>
        </v:rect>
      </w:pict>
    </w:r>
    <w:r>
      <w:rPr/>
      <w:pict>
        <v:shape style="position:absolute;margin-left:89.024002pt;margin-top:42.865608pt;width:173.4pt;height:12pt;mso-position-horizontal-relative:page;mso-position-vertical-relative:page;z-index:-17813504" type="#_x0000_t202" id="docshape1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812992" type="#_x0000_t202" id="docshape1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6368" id="docshape71" filled="true" fillcolor="#000000" stroked="false">
          <v:fill type="solid"/>
          <w10:wrap type="none"/>
        </v:rect>
      </w:pict>
    </w:r>
    <w:r>
      <w:rPr/>
      <w:pict>
        <v:shape style="position:absolute;margin-left:89.024002pt;margin-top:42.865608pt;width:173.4pt;height:12pt;mso-position-horizontal-relative:page;mso-position-vertical-relative:page;z-index:-17785856" type="#_x0000_t202" id="docshape72"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85344" type="#_x0000_t202" id="docshape73"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4832" id="docshape74" filled="true" fillcolor="#000000" stroked="false">
          <v:fill type="solid"/>
          <w10:wrap type="none"/>
        </v:rect>
      </w:pict>
    </w:r>
    <w:r>
      <w:rPr/>
      <w:pict>
        <v:shape style="position:absolute;margin-left:89.024002pt;margin-top:42.865608pt;width:132.7pt;height:12pt;mso-position-horizontal-relative:page;mso-position-vertical-relative:page;z-index:-17784320" type="#_x0000_t202" id="docshape75"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83808" type="#_x0000_t202" id="docshape76"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3296" id="docshape77" filled="true" fillcolor="#000000" stroked="false">
          <v:fill type="solid"/>
          <w10:wrap type="none"/>
        </v:rect>
      </w:pict>
    </w:r>
    <w:r>
      <w:rPr/>
      <w:pict>
        <v:shape style="position:absolute;margin-left:89.024002pt;margin-top:42.865608pt;width:173.4pt;height:12pt;mso-position-horizontal-relative:page;mso-position-vertical-relative:page;z-index:-17782784" type="#_x0000_t202" id="docshape78"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82272" type="#_x0000_t202" id="docshape79"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1760" id="docshape80" filled="true" fillcolor="#000000" stroked="false">
          <v:fill type="solid"/>
          <w10:wrap type="none"/>
        </v:rect>
      </w:pict>
    </w:r>
    <w:r>
      <w:rPr/>
      <w:pict>
        <v:shape style="position:absolute;margin-left:89.024002pt;margin-top:42.865608pt;width:132.7pt;height:12pt;mso-position-horizontal-relative:page;mso-position-vertical-relative:page;z-index:-17781248" type="#_x0000_t202" id="docshape81"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80736" type="#_x0000_t202" id="docshape82"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80224" id="docshape83" filled="true" fillcolor="#000000" stroked="false">
          <v:fill type="solid"/>
          <w10:wrap type="none"/>
        </v:rect>
      </w:pict>
    </w:r>
    <w:r>
      <w:rPr/>
      <w:pict>
        <v:shape style="position:absolute;margin-left:89.024002pt;margin-top:42.865608pt;width:173.4pt;height:12pt;mso-position-horizontal-relative:page;mso-position-vertical-relative:page;z-index:-17779712" type="#_x0000_t202" id="docshape84"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79200" type="#_x0000_t202" id="docshape85"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8688" id="docshape86" filled="true" fillcolor="#000000" stroked="false">
          <v:fill type="solid"/>
          <w10:wrap type="none"/>
        </v:rect>
      </w:pict>
    </w:r>
    <w:r>
      <w:rPr/>
      <w:pict>
        <v:shape style="position:absolute;margin-left:89.024002pt;margin-top:42.865608pt;width:132.7pt;height:12pt;mso-position-horizontal-relative:page;mso-position-vertical-relative:page;z-index:-17778176" type="#_x0000_t202" id="docshape87"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77664" type="#_x0000_t202" id="docshape88"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7152" id="docshape89" filled="true" fillcolor="#000000" stroked="false">
          <v:fill type="solid"/>
          <w10:wrap type="none"/>
        </v:rect>
      </w:pict>
    </w:r>
    <w:r>
      <w:rPr/>
      <w:pict>
        <v:shape style="position:absolute;margin-left:89.024002pt;margin-top:42.865608pt;width:173.4pt;height:12pt;mso-position-horizontal-relative:page;mso-position-vertical-relative:page;z-index:-17776640" type="#_x0000_t202" id="docshape90"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76128" type="#_x0000_t202" id="docshape91"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5616" id="docshape92" filled="true" fillcolor="#000000" stroked="false">
          <v:fill type="solid"/>
          <w10:wrap type="none"/>
        </v:rect>
      </w:pict>
    </w:r>
    <w:r>
      <w:rPr/>
      <w:pict>
        <v:shape style="position:absolute;margin-left:89.024002pt;margin-top:42.865608pt;width:132.7pt;height:12pt;mso-position-horizontal-relative:page;mso-position-vertical-relative:page;z-index:-17775104" type="#_x0000_t202" id="docshape93"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74592" type="#_x0000_t202" id="docshape94"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4080" id="docshape95" filled="true" fillcolor="#000000" stroked="false">
          <v:fill type="solid"/>
          <w10:wrap type="none"/>
        </v:rect>
      </w:pict>
    </w:r>
    <w:r>
      <w:rPr/>
      <w:pict>
        <v:shape style="position:absolute;margin-left:89.024002pt;margin-top:42.865608pt;width:173.4pt;height:12pt;mso-position-horizontal-relative:page;mso-position-vertical-relative:page;z-index:-17773568" type="#_x0000_t202" id="docshape96"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73056" type="#_x0000_t202" id="docshape97"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2544" id="docshape98" filled="true" fillcolor="#000000" stroked="false">
          <v:fill type="solid"/>
          <w10:wrap type="none"/>
        </v:rect>
      </w:pict>
    </w:r>
    <w:r>
      <w:rPr/>
      <w:pict>
        <v:shape style="position:absolute;margin-left:89.024002pt;margin-top:42.865608pt;width:132.7pt;height:12pt;mso-position-horizontal-relative:page;mso-position-vertical-relative:page;z-index:-17772032" type="#_x0000_t202" id="docshape99"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71520" type="#_x0000_t202" id="docshape100"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12480" id="docshape15" filled="true" fillcolor="#000000" stroked="false">
          <v:fill type="solid"/>
          <w10:wrap type="none"/>
        </v:rect>
      </w:pict>
    </w:r>
    <w:r>
      <w:rPr/>
      <w:pict>
        <v:shape style="position:absolute;margin-left:89.024002pt;margin-top:42.865608pt;width:132.7pt;height:12pt;mso-position-horizontal-relative:page;mso-position-vertical-relative:page;z-index:-17811968" type="#_x0000_t202" id="docshape1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811456" type="#_x0000_t202" id="docshape1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71008" id="docshape101" filled="true" fillcolor="#000000" stroked="false">
          <v:fill type="solid"/>
          <w10:wrap type="none"/>
        </v:rect>
      </w:pict>
    </w:r>
    <w:r>
      <w:rPr/>
      <w:pict>
        <v:shape style="position:absolute;margin-left:89.024002pt;margin-top:42.865608pt;width:173.4pt;height:12pt;mso-position-horizontal-relative:page;mso-position-vertical-relative:page;z-index:-17770496" type="#_x0000_t202" id="docshape102"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69984" type="#_x0000_t202" id="docshape103"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9472" id="docshape104" filled="true" fillcolor="#000000" stroked="false">
          <v:fill type="solid"/>
          <w10:wrap type="none"/>
        </v:rect>
      </w:pict>
    </w:r>
    <w:r>
      <w:rPr/>
      <w:pict>
        <v:shape style="position:absolute;margin-left:89.024002pt;margin-top:42.865608pt;width:132.7pt;height:12pt;mso-position-horizontal-relative:page;mso-position-vertical-relative:page;z-index:-17768960" type="#_x0000_t202" id="docshape105"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68448" type="#_x0000_t202" id="docshape106"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7936" id="docshape107" filled="true" fillcolor="#000000" stroked="false">
          <v:fill type="solid"/>
          <w10:wrap type="none"/>
        </v:rect>
      </w:pict>
    </w:r>
    <w:r>
      <w:rPr/>
      <w:pict>
        <v:shape style="position:absolute;margin-left:89.024002pt;margin-top:42.865608pt;width:173.4pt;height:12pt;mso-position-horizontal-relative:page;mso-position-vertical-relative:page;z-index:-17767424" type="#_x0000_t202" id="docshape108"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66912" type="#_x0000_t202" id="docshape109"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6400" id="docshape110" filled="true" fillcolor="#000000" stroked="false">
          <v:fill type="solid"/>
          <w10:wrap type="none"/>
        </v:rect>
      </w:pict>
    </w:r>
    <w:r>
      <w:rPr/>
      <w:pict>
        <v:shape style="position:absolute;margin-left:89.024002pt;margin-top:42.865608pt;width:132.7pt;height:12pt;mso-position-horizontal-relative:page;mso-position-vertical-relative:page;z-index:-17765888" type="#_x0000_t202" id="docshape111"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65376" type="#_x0000_t202" id="docshape112"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4864" id="docshape113" filled="true" fillcolor="#000000" stroked="false">
          <v:fill type="solid"/>
          <w10:wrap type="none"/>
        </v:rect>
      </w:pict>
    </w:r>
    <w:r>
      <w:rPr/>
      <w:pict>
        <v:shape style="position:absolute;margin-left:89.024002pt;margin-top:42.865608pt;width:173.4pt;height:12pt;mso-position-horizontal-relative:page;mso-position-vertical-relative:page;z-index:-17764352" type="#_x0000_t202" id="docshape114"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63840" type="#_x0000_t202" id="docshape115"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3328" id="docshape116" filled="true" fillcolor="#000000" stroked="false">
          <v:fill type="solid"/>
          <w10:wrap type="none"/>
        </v:rect>
      </w:pict>
    </w:r>
    <w:r>
      <w:rPr/>
      <w:pict>
        <v:shape style="position:absolute;margin-left:89.024002pt;margin-top:42.865608pt;width:132.7pt;height:12pt;mso-position-horizontal-relative:page;mso-position-vertical-relative:page;z-index:-17762816" type="#_x0000_t202" id="docshape117"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62304" type="#_x0000_t202" id="docshape118"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1792" id="docshape119" filled="true" fillcolor="#000000" stroked="false">
          <v:fill type="solid"/>
          <w10:wrap type="none"/>
        </v:rect>
      </w:pict>
    </w:r>
    <w:r>
      <w:rPr/>
      <w:pict>
        <v:shape style="position:absolute;margin-left:89.024002pt;margin-top:42.865608pt;width:173.4pt;height:12pt;mso-position-horizontal-relative:page;mso-position-vertical-relative:page;z-index:-17761280" type="#_x0000_t202" id="docshape120"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60768" type="#_x0000_t202" id="docshape121"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60256" id="docshape122" filled="true" fillcolor="#000000" stroked="false">
          <v:fill type="solid"/>
          <w10:wrap type="none"/>
        </v:rect>
      </w:pict>
    </w:r>
    <w:r>
      <w:rPr/>
      <w:pict>
        <v:shape style="position:absolute;margin-left:89.024002pt;margin-top:42.865608pt;width:132.7pt;height:12pt;mso-position-horizontal-relative:page;mso-position-vertical-relative:page;z-index:-17759744" type="#_x0000_t202" id="docshape123"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59232" type="#_x0000_t202" id="docshape124"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8720" id="docshape125" filled="true" fillcolor="#000000" stroked="false">
          <v:fill type="solid"/>
          <w10:wrap type="none"/>
        </v:rect>
      </w:pict>
    </w:r>
    <w:r>
      <w:rPr/>
      <w:pict>
        <v:shape style="position:absolute;margin-left:89.024002pt;margin-top:42.865608pt;width:173.4pt;height:12pt;mso-position-horizontal-relative:page;mso-position-vertical-relative:page;z-index:-17758208" type="#_x0000_t202" id="docshape126"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57696" type="#_x0000_t202" id="docshape127"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7184" id="docshape128" filled="true" fillcolor="#000000" stroked="false">
          <v:fill type="solid"/>
          <w10:wrap type="none"/>
        </v:rect>
      </w:pict>
    </w:r>
    <w:r>
      <w:rPr/>
      <w:pict>
        <v:shape style="position:absolute;margin-left:89.024002pt;margin-top:42.865608pt;width:132.7pt;height:12pt;mso-position-horizontal-relative:page;mso-position-vertical-relative:page;z-index:-17756672" type="#_x0000_t202" id="docshape129"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56160" type="#_x0000_t202" id="docshape130"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10944" id="docshape19" filled="true" fillcolor="#000000" stroked="false">
          <v:fill type="solid"/>
          <w10:wrap type="none"/>
        </v:rect>
      </w:pict>
    </w:r>
    <w:r>
      <w:rPr/>
      <w:pict>
        <v:shape style="position:absolute;margin-left:89.024002pt;margin-top:42.865608pt;width:173.4pt;height:12pt;mso-position-horizontal-relative:page;mso-position-vertical-relative:page;z-index:-17810432" type="#_x0000_t202" id="docshape20"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809920" type="#_x0000_t202" id="docshape21"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5648" id="docshape131" filled="true" fillcolor="#000000" stroked="false">
          <v:fill type="solid"/>
          <w10:wrap type="none"/>
        </v:rect>
      </w:pict>
    </w:r>
    <w:r>
      <w:rPr/>
      <w:pict>
        <v:shape style="position:absolute;margin-left:89.024002pt;margin-top:42.865608pt;width:173.4pt;height:12pt;mso-position-horizontal-relative:page;mso-position-vertical-relative:page;z-index:-17755136" type="#_x0000_t202" id="docshape132"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54624" type="#_x0000_t202" id="docshape133"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4112" id="docshape134" filled="true" fillcolor="#000000" stroked="false">
          <v:fill type="solid"/>
          <w10:wrap type="none"/>
        </v:rect>
      </w:pict>
    </w:r>
    <w:r>
      <w:rPr/>
      <w:pict>
        <v:shape style="position:absolute;margin-left:89.024002pt;margin-top:42.865608pt;width:132.7pt;height:12pt;mso-position-horizontal-relative:page;mso-position-vertical-relative:page;z-index:-17753600" type="#_x0000_t202" id="docshape135"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53088" type="#_x0000_t202" id="docshape136"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2576" id="docshape137" filled="true" fillcolor="#000000" stroked="false">
          <v:fill type="solid"/>
          <w10:wrap type="none"/>
        </v:rect>
      </w:pict>
    </w:r>
    <w:r>
      <w:rPr/>
      <w:pict>
        <v:shape style="position:absolute;margin-left:89.024002pt;margin-top:42.865608pt;width:173.4pt;height:12pt;mso-position-horizontal-relative:page;mso-position-vertical-relative:page;z-index:-17752064" type="#_x0000_t202" id="docshape138"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51552" type="#_x0000_t202" id="docshape139"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51040" id="docshape140" filled="true" fillcolor="#000000" stroked="false">
          <v:fill type="solid"/>
          <w10:wrap type="none"/>
        </v:rect>
      </w:pict>
    </w:r>
    <w:r>
      <w:rPr/>
      <w:pict>
        <v:shape style="position:absolute;margin-left:89.024002pt;margin-top:42.865608pt;width:132.7pt;height:12pt;mso-position-horizontal-relative:page;mso-position-vertical-relative:page;z-index:-17750528" type="#_x0000_t202" id="docshape141"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50016" type="#_x0000_t202" id="docshape142"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9504" id="docshape143" filled="true" fillcolor="#000000" stroked="false">
          <v:fill type="solid"/>
          <w10:wrap type="none"/>
        </v:rect>
      </w:pict>
    </w:r>
    <w:r>
      <w:rPr/>
      <w:pict>
        <v:shape style="position:absolute;margin-left:89.024002pt;margin-top:42.865608pt;width:173.4pt;height:12pt;mso-position-horizontal-relative:page;mso-position-vertical-relative:page;z-index:-17748992" type="#_x0000_t202" id="docshape144"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48480" type="#_x0000_t202" id="docshape145"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7968" id="docshape146" filled="true" fillcolor="#000000" stroked="false">
          <v:fill type="solid"/>
          <w10:wrap type="none"/>
        </v:rect>
      </w:pict>
    </w:r>
    <w:r>
      <w:rPr/>
      <w:pict>
        <v:shape style="position:absolute;margin-left:89.024002pt;margin-top:42.865608pt;width:132.7pt;height:12pt;mso-position-horizontal-relative:page;mso-position-vertical-relative:page;z-index:-17747456" type="#_x0000_t202" id="docshape147"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46944" type="#_x0000_t202" id="docshape148"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6432" id="docshape149" filled="true" fillcolor="#000000" stroked="false">
          <v:fill type="solid"/>
          <w10:wrap type="none"/>
        </v:rect>
      </w:pict>
    </w:r>
    <w:r>
      <w:rPr/>
      <w:pict>
        <v:shape style="position:absolute;margin-left:89.024002pt;margin-top:42.865608pt;width:173.4pt;height:12pt;mso-position-horizontal-relative:page;mso-position-vertical-relative:page;z-index:-17745920" type="#_x0000_t202" id="docshape150"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45408" type="#_x0000_t202" id="docshape151"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4896" id="docshape153" filled="true" fillcolor="#000000" stroked="false">
          <v:fill type="solid"/>
          <w10:wrap type="none"/>
        </v:rect>
      </w:pict>
    </w:r>
    <w:r>
      <w:rPr/>
      <w:pict>
        <v:shape style="position:absolute;margin-left:89.024002pt;margin-top:42.865608pt;width:132.7pt;height:12pt;mso-position-horizontal-relative:page;mso-position-vertical-relative:page;z-index:-17744384" type="#_x0000_t202" id="docshape15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43872" type="#_x0000_t202" id="docshape15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3360" id="docshape156" filled="true" fillcolor="#000000" stroked="false">
          <v:fill type="solid"/>
          <w10:wrap type="none"/>
        </v:rect>
      </w:pict>
    </w:r>
    <w:r>
      <w:rPr/>
      <w:pict>
        <v:shape style="position:absolute;margin-left:89.024002pt;margin-top:42.865608pt;width:173.4pt;height:12pt;mso-position-horizontal-relative:page;mso-position-vertical-relative:page;z-index:-17742848" type="#_x0000_t202" id="docshape15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42336" type="#_x0000_t202" id="docshape15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1824" id="docshape159" filled="true" fillcolor="#000000" stroked="false">
          <v:fill type="solid"/>
          <w10:wrap type="none"/>
        </v:rect>
      </w:pict>
    </w:r>
    <w:r>
      <w:rPr/>
      <w:pict>
        <v:shape style="position:absolute;margin-left:89.024002pt;margin-top:42.865608pt;width:132.7pt;height:12pt;mso-position-horizontal-relative:page;mso-position-vertical-relative:page;z-index:-17741312" type="#_x0000_t202" id="docshape16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40800" type="#_x0000_t202" id="docshape16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9408" id="docshape22" filled="true" fillcolor="#000000" stroked="false">
          <v:fill type="solid"/>
          <w10:wrap type="none"/>
        </v:rect>
      </w:pict>
    </w:r>
    <w:r>
      <w:rPr/>
      <w:pict>
        <v:shape style="position:absolute;margin-left:89.024002pt;margin-top:42.865608pt;width:132.7pt;height:12pt;mso-position-horizontal-relative:page;mso-position-vertical-relative:page;z-index:-17808896" type="#_x0000_t202" id="docshape23"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808384" type="#_x0000_t202" id="docshape24"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40288" id="docshape162" filled="true" fillcolor="#000000" stroked="false">
          <v:fill type="solid"/>
          <w10:wrap type="none"/>
        </v:rect>
      </w:pict>
    </w:r>
    <w:r>
      <w:rPr/>
      <w:pict>
        <v:shape style="position:absolute;margin-left:89.024002pt;margin-top:42.865608pt;width:173.4pt;height:12pt;mso-position-horizontal-relative:page;mso-position-vertical-relative:page;z-index:-17739776" type="#_x0000_t202" id="docshape16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39264" type="#_x0000_t202" id="docshape16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8752" id="docshape165" filled="true" fillcolor="#000000" stroked="false">
          <v:fill type="solid"/>
          <w10:wrap type="none"/>
        </v:rect>
      </w:pict>
    </w:r>
    <w:r>
      <w:rPr/>
      <w:pict>
        <v:shape style="position:absolute;margin-left:89.024002pt;margin-top:42.865608pt;width:132.7pt;height:12pt;mso-position-horizontal-relative:page;mso-position-vertical-relative:page;z-index:-17738240" type="#_x0000_t202" id="docshape16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37728" type="#_x0000_t202" id="docshape16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7216" id="docshape168" filled="true" fillcolor="#000000" stroked="false">
          <v:fill type="solid"/>
          <w10:wrap type="none"/>
        </v:rect>
      </w:pict>
    </w:r>
    <w:r>
      <w:rPr/>
      <w:pict>
        <v:shape style="position:absolute;margin-left:89.024002pt;margin-top:42.865608pt;width:173.4pt;height:12pt;mso-position-horizontal-relative:page;mso-position-vertical-relative:page;z-index:-17736704" type="#_x0000_t202" id="docshape169"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36192" type="#_x0000_t202" id="docshape170"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5680" id="docshape171" filled="true" fillcolor="#000000" stroked="false">
          <v:fill type="solid"/>
          <w10:wrap type="none"/>
        </v:rect>
      </w:pict>
    </w:r>
    <w:r>
      <w:rPr/>
      <w:pict>
        <v:shape style="position:absolute;margin-left:89.024002pt;margin-top:42.865608pt;width:132.7pt;height:12pt;mso-position-horizontal-relative:page;mso-position-vertical-relative:page;z-index:-17735168" type="#_x0000_t202" id="docshape172"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34656" type="#_x0000_t202" id="docshape173"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4144" id="docshape174" filled="true" fillcolor="#000000" stroked="false">
          <v:fill type="solid"/>
          <w10:wrap type="none"/>
        </v:rect>
      </w:pict>
    </w:r>
    <w:r>
      <w:rPr/>
      <w:pict>
        <v:shape style="position:absolute;margin-left:89.024002pt;margin-top:42.865608pt;width:173.4pt;height:12pt;mso-position-horizontal-relative:page;mso-position-vertical-relative:page;z-index:-17733632" type="#_x0000_t202" id="docshape17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33120" type="#_x0000_t202" id="docshape17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2608" id="docshape177" filled="true" fillcolor="#000000" stroked="false">
          <v:fill type="solid"/>
          <w10:wrap type="none"/>
        </v:rect>
      </w:pict>
    </w:r>
    <w:r>
      <w:rPr/>
      <w:pict>
        <v:shape style="position:absolute;margin-left:89.024002pt;margin-top:42.865608pt;width:132.7pt;height:12pt;mso-position-horizontal-relative:page;mso-position-vertical-relative:page;z-index:-17732096" type="#_x0000_t202" id="docshape17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31584" type="#_x0000_t202" id="docshape17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31072" id="docshape180" filled="true" fillcolor="#000000" stroked="false">
          <v:fill type="solid"/>
          <w10:wrap type="none"/>
        </v:rect>
      </w:pict>
    </w:r>
    <w:r>
      <w:rPr/>
      <w:pict>
        <v:shape style="position:absolute;margin-left:89.024002pt;margin-top:42.865608pt;width:173.4pt;height:12pt;mso-position-horizontal-relative:page;mso-position-vertical-relative:page;z-index:-17730560" type="#_x0000_t202" id="docshape18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30048" type="#_x0000_t202" id="docshape18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9536" id="docshape183" filled="true" fillcolor="#000000" stroked="false">
          <v:fill type="solid"/>
          <w10:wrap type="none"/>
        </v:rect>
      </w:pict>
    </w:r>
    <w:r>
      <w:rPr/>
      <w:pict>
        <v:shape style="position:absolute;margin-left:89.024002pt;margin-top:42.865608pt;width:132.7pt;height:12pt;mso-position-horizontal-relative:page;mso-position-vertical-relative:page;z-index:-17729024" type="#_x0000_t202" id="docshape18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28512" type="#_x0000_t202" id="docshape18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8000" id="docshape186" filled="true" fillcolor="#000000" stroked="false">
          <v:fill type="solid"/>
          <w10:wrap type="none"/>
        </v:rect>
      </w:pict>
    </w:r>
    <w:r>
      <w:rPr/>
      <w:pict>
        <v:shape style="position:absolute;margin-left:89.024002pt;margin-top:42.865608pt;width:173.4pt;height:12pt;mso-position-horizontal-relative:page;mso-position-vertical-relative:page;z-index:-17727488" type="#_x0000_t202" id="docshape18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26976" type="#_x0000_t202" id="docshape18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6464" id="docshape189" filled="true" fillcolor="#000000" stroked="false">
          <v:fill type="solid"/>
          <w10:wrap type="none"/>
        </v:rect>
      </w:pict>
    </w:r>
    <w:r>
      <w:rPr/>
      <w:pict>
        <v:shape style="position:absolute;margin-left:89.024002pt;margin-top:42.865608pt;width:132.7pt;height:12pt;mso-position-horizontal-relative:page;mso-position-vertical-relative:page;z-index:-17725952" type="#_x0000_t202" id="docshape19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25440" type="#_x0000_t202" id="docshape19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7872" id="docshape26" filled="true" fillcolor="#000000" stroked="false">
          <v:fill type="solid"/>
          <w10:wrap type="none"/>
        </v:rect>
      </w:pict>
    </w:r>
    <w:r>
      <w:rPr/>
      <w:pict>
        <v:shape style="position:absolute;margin-left:89.024002pt;margin-top:42.865608pt;width:173.4pt;height:12pt;mso-position-horizontal-relative:page;mso-position-vertical-relative:page;z-index:-17807360" type="#_x0000_t202" id="docshape2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806848" type="#_x0000_t202" id="docshape2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4928" id="docshape192" filled="true" fillcolor="#000000" stroked="false">
          <v:fill type="solid"/>
          <w10:wrap type="none"/>
        </v:rect>
      </w:pict>
    </w:r>
    <w:r>
      <w:rPr/>
      <w:pict>
        <v:shape style="position:absolute;margin-left:89.024002pt;margin-top:42.865608pt;width:173.4pt;height:12pt;mso-position-horizontal-relative:page;mso-position-vertical-relative:page;z-index:-17724416" type="#_x0000_t202" id="docshape19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23904" type="#_x0000_t202" id="docshape19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3392" id="docshape195" filled="true" fillcolor="#000000" stroked="false">
          <v:fill type="solid"/>
          <w10:wrap type="none"/>
        </v:rect>
      </w:pict>
    </w:r>
    <w:r>
      <w:rPr/>
      <w:pict>
        <v:shape style="position:absolute;margin-left:89.024002pt;margin-top:42.865608pt;width:132.7pt;height:12pt;mso-position-horizontal-relative:page;mso-position-vertical-relative:page;z-index:-17722880" type="#_x0000_t202" id="docshape19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22368" type="#_x0000_t202" id="docshape19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1856" id="docshape198" filled="true" fillcolor="#000000" stroked="false">
          <v:fill type="solid"/>
          <w10:wrap type="none"/>
        </v:rect>
      </w:pict>
    </w:r>
    <w:r>
      <w:rPr/>
      <w:pict>
        <v:shape style="position:absolute;margin-left:89.024002pt;margin-top:42.865608pt;width:173.4pt;height:12pt;mso-position-horizontal-relative:page;mso-position-vertical-relative:page;z-index:-17721344" type="#_x0000_t202" id="docshape199"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20832" type="#_x0000_t202" id="docshape200"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20320" id="docshape201" filled="true" fillcolor="#000000" stroked="false">
          <v:fill type="solid"/>
          <w10:wrap type="none"/>
        </v:rect>
      </w:pict>
    </w:r>
    <w:r>
      <w:rPr/>
      <w:pict>
        <v:shape style="position:absolute;margin-left:89.024002pt;margin-top:42.865608pt;width:132.7pt;height:12pt;mso-position-horizontal-relative:page;mso-position-vertical-relative:page;z-index:-17719808" type="#_x0000_t202" id="docshape202"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19296" type="#_x0000_t202" id="docshape203"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8784" id="docshape204" filled="true" fillcolor="#000000" stroked="false">
          <v:fill type="solid"/>
          <w10:wrap type="none"/>
        </v:rect>
      </w:pict>
    </w:r>
    <w:r>
      <w:rPr/>
      <w:pict>
        <v:shape style="position:absolute;margin-left:89.024002pt;margin-top:42.865608pt;width:173.4pt;height:12pt;mso-position-horizontal-relative:page;mso-position-vertical-relative:page;z-index:-17718272" type="#_x0000_t202" id="docshape20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17760" type="#_x0000_t202" id="docshape20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7248" id="docshape207" filled="true" fillcolor="#000000" stroked="false">
          <v:fill type="solid"/>
          <w10:wrap type="none"/>
        </v:rect>
      </w:pict>
    </w:r>
    <w:r>
      <w:rPr/>
      <w:pict>
        <v:shape style="position:absolute;margin-left:89.024002pt;margin-top:42.865608pt;width:132.7pt;height:12pt;mso-position-horizontal-relative:page;mso-position-vertical-relative:page;z-index:-17716736" type="#_x0000_t202" id="docshape20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16224" type="#_x0000_t202" id="docshape20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5712" id="docshape210" filled="true" fillcolor="#000000" stroked="false">
          <v:fill type="solid"/>
          <w10:wrap type="none"/>
        </v:rect>
      </w:pict>
    </w:r>
    <w:r>
      <w:rPr/>
      <w:pict>
        <v:shape style="position:absolute;margin-left:89.024002pt;margin-top:42.865608pt;width:173.4pt;height:12pt;mso-position-horizontal-relative:page;mso-position-vertical-relative:page;z-index:-17715200" type="#_x0000_t202" id="docshape21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14688" type="#_x0000_t202" id="docshape21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4176" id="docshape213" filled="true" fillcolor="#000000" stroked="false">
          <v:fill type="solid"/>
          <w10:wrap type="none"/>
        </v:rect>
      </w:pict>
    </w:r>
    <w:r>
      <w:rPr/>
      <w:pict>
        <v:shape style="position:absolute;margin-left:89.024002pt;margin-top:42.865608pt;width:132.7pt;height:12pt;mso-position-horizontal-relative:page;mso-position-vertical-relative:page;z-index:-17713664" type="#_x0000_t202" id="docshape21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13152" type="#_x0000_t202" id="docshape21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2640" id="docshape216" filled="true" fillcolor="#000000" stroked="false">
          <v:fill type="solid"/>
          <w10:wrap type="none"/>
        </v:rect>
      </w:pict>
    </w:r>
    <w:r>
      <w:rPr/>
      <w:pict>
        <v:shape style="position:absolute;margin-left:89.024002pt;margin-top:42.865608pt;width:173.4pt;height:12pt;mso-position-horizontal-relative:page;mso-position-vertical-relative:page;z-index:-17712128" type="#_x0000_t202" id="docshape21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11616" type="#_x0000_t202" id="docshape21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11104" id="docshape219" filled="true" fillcolor="#000000" stroked="false">
          <v:fill type="solid"/>
          <w10:wrap type="none"/>
        </v:rect>
      </w:pict>
    </w:r>
    <w:r>
      <w:rPr/>
      <w:pict>
        <v:shape style="position:absolute;margin-left:89.024002pt;margin-top:42.865608pt;width:132.7pt;height:12pt;mso-position-horizontal-relative:page;mso-position-vertical-relative:page;z-index:-17710592" type="#_x0000_t202" id="docshape22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10080" type="#_x0000_t202" id="docshape22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6336" id="docshape30" filled="true" fillcolor="#000000" stroked="false">
          <v:fill type="solid"/>
          <w10:wrap type="none"/>
        </v:rect>
      </w:pict>
    </w:r>
    <w:r>
      <w:rPr/>
      <w:pict>
        <v:shape style="position:absolute;margin-left:89.024002pt;margin-top:42.865608pt;width:132.7pt;height:12pt;mso-position-horizontal-relative:page;mso-position-vertical-relative:page;z-index:-17805824" type="#_x0000_t202" id="docshape31"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805312" type="#_x0000_t202" id="docshape32"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9568" id="docshape222" filled="true" fillcolor="#000000" stroked="false">
          <v:fill type="solid"/>
          <w10:wrap type="none"/>
        </v:rect>
      </w:pict>
    </w:r>
    <w:r>
      <w:rPr/>
      <w:pict>
        <v:shape style="position:absolute;margin-left:89.024002pt;margin-top:42.865608pt;width:173.4pt;height:12pt;mso-position-horizontal-relative:page;mso-position-vertical-relative:page;z-index:-17709056" type="#_x0000_t202" id="docshape22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08544" type="#_x0000_t202" id="docshape22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8032" id="docshape225" filled="true" fillcolor="#000000" stroked="false">
          <v:fill type="solid"/>
          <w10:wrap type="none"/>
        </v:rect>
      </w:pict>
    </w:r>
    <w:r>
      <w:rPr/>
      <w:pict>
        <v:shape style="position:absolute;margin-left:89.024002pt;margin-top:42.865608pt;width:132.7pt;height:12pt;mso-position-horizontal-relative:page;mso-position-vertical-relative:page;z-index:-17707520" type="#_x0000_t202" id="docshape22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07008" type="#_x0000_t202" id="docshape22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6496" id="docshape228" filled="true" fillcolor="#000000" stroked="false">
          <v:fill type="solid"/>
          <w10:wrap type="none"/>
        </v:rect>
      </w:pict>
    </w:r>
    <w:r>
      <w:rPr/>
      <w:pict>
        <v:shape style="position:absolute;margin-left:89.024002pt;margin-top:42.865608pt;width:173.4pt;height:12pt;mso-position-horizontal-relative:page;mso-position-vertical-relative:page;z-index:-17705984" type="#_x0000_t202" id="docshape229"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05472" type="#_x0000_t202" id="docshape230"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4960" id="docshape231" filled="true" fillcolor="#000000" stroked="false">
          <v:fill type="solid"/>
          <w10:wrap type="none"/>
        </v:rect>
      </w:pict>
    </w:r>
    <w:r>
      <w:rPr/>
      <w:pict>
        <v:shape style="position:absolute;margin-left:89.024002pt;margin-top:42.865608pt;width:132.7pt;height:12pt;mso-position-horizontal-relative:page;mso-position-vertical-relative:page;z-index:-17704448" type="#_x0000_t202" id="docshape232"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03936" type="#_x0000_t202" id="docshape233"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3424" id="docshape234" filled="true" fillcolor="#000000" stroked="false">
          <v:fill type="solid"/>
          <w10:wrap type="none"/>
        </v:rect>
      </w:pict>
    </w:r>
    <w:r>
      <w:rPr/>
      <w:pict>
        <v:shape style="position:absolute;margin-left:89.024002pt;margin-top:42.865608pt;width:173.4pt;height:12pt;mso-position-horizontal-relative:page;mso-position-vertical-relative:page;z-index:-17702912" type="#_x0000_t202" id="docshape23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702400" type="#_x0000_t202" id="docshape23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1888" id="docshape237" filled="true" fillcolor="#000000" stroked="false">
          <v:fill type="solid"/>
          <w10:wrap type="none"/>
        </v:rect>
      </w:pict>
    </w:r>
    <w:r>
      <w:rPr/>
      <w:pict>
        <v:shape style="position:absolute;margin-left:89.024002pt;margin-top:42.865608pt;width:132.7pt;height:12pt;mso-position-horizontal-relative:page;mso-position-vertical-relative:page;z-index:-17701376" type="#_x0000_t202" id="docshape23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700864" type="#_x0000_t202" id="docshape23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700352" id="docshape240" filled="true" fillcolor="#000000" stroked="false">
          <v:fill type="solid"/>
          <w10:wrap type="none"/>
        </v:rect>
      </w:pict>
    </w:r>
    <w:r>
      <w:rPr/>
      <w:pict>
        <v:shape style="position:absolute;margin-left:89.024002pt;margin-top:42.865608pt;width:173.4pt;height:12pt;mso-position-horizontal-relative:page;mso-position-vertical-relative:page;z-index:-17699840" type="#_x0000_t202" id="docshape24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99328" type="#_x0000_t202" id="docshape24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8816" id="docshape243" filled="true" fillcolor="#000000" stroked="false">
          <v:fill type="solid"/>
          <w10:wrap type="none"/>
        </v:rect>
      </w:pict>
    </w:r>
    <w:r>
      <w:rPr/>
      <w:pict>
        <v:shape style="position:absolute;margin-left:89.024002pt;margin-top:42.865608pt;width:132.7pt;height:12pt;mso-position-horizontal-relative:page;mso-position-vertical-relative:page;z-index:-17698304" type="#_x0000_t202" id="docshape24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97792" type="#_x0000_t202" id="docshape24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7280" id="docshape246" filled="true" fillcolor="#000000" stroked="false">
          <v:fill type="solid"/>
          <w10:wrap type="none"/>
        </v:rect>
      </w:pict>
    </w:r>
    <w:r>
      <w:rPr/>
      <w:pict>
        <v:shape style="position:absolute;margin-left:89.024002pt;margin-top:42.865608pt;width:173.4pt;height:12pt;mso-position-horizontal-relative:page;mso-position-vertical-relative:page;z-index:-17696768" type="#_x0000_t202" id="docshape24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96256" type="#_x0000_t202" id="docshape24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5744" id="docshape249" filled="true" fillcolor="#000000" stroked="false">
          <v:fill type="solid"/>
          <w10:wrap type="none"/>
        </v:rect>
      </w:pict>
    </w:r>
    <w:r>
      <w:rPr/>
      <w:pict>
        <v:shape style="position:absolute;margin-left:89.024002pt;margin-top:42.865608pt;width:132.7pt;height:12pt;mso-position-horizontal-relative:page;mso-position-vertical-relative:page;z-index:-17695232" type="#_x0000_t202" id="docshape25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94720" type="#_x0000_t202" id="docshape25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4800" id="docshape34" filled="true" fillcolor="#000000" stroked="false">
          <v:fill type="solid"/>
          <w10:wrap type="none"/>
        </v:rect>
      </w:pict>
    </w:r>
    <w:r>
      <w:rPr/>
      <w:pict>
        <v:shape style="position:absolute;margin-left:89.024002pt;margin-top:42.865608pt;width:173.4pt;height:12pt;mso-position-horizontal-relative:page;mso-position-vertical-relative:page;z-index:-17804288" type="#_x0000_t202" id="docshape3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803776" type="#_x0000_t202" id="docshape3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4208" id="docshape252" filled="true" fillcolor="#000000" stroked="false">
          <v:fill type="solid"/>
          <w10:wrap type="none"/>
        </v:rect>
      </w:pict>
    </w:r>
    <w:r>
      <w:rPr/>
      <w:pict>
        <v:shape style="position:absolute;margin-left:89.024002pt;margin-top:42.865608pt;width:173.4pt;height:12pt;mso-position-horizontal-relative:page;mso-position-vertical-relative:page;z-index:-17693696" type="#_x0000_t202" id="docshape25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93184" type="#_x0000_t202" id="docshape25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2672" id="docshape255" filled="true" fillcolor="#000000" stroked="false">
          <v:fill type="solid"/>
          <w10:wrap type="none"/>
        </v:rect>
      </w:pict>
    </w:r>
    <w:r>
      <w:rPr/>
      <w:pict>
        <v:shape style="position:absolute;margin-left:89.024002pt;margin-top:42.865608pt;width:132.7pt;height:12pt;mso-position-horizontal-relative:page;mso-position-vertical-relative:page;z-index:-17692160" type="#_x0000_t202" id="docshape25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91648" type="#_x0000_t202" id="docshape25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91136" id="docshape258" filled="true" fillcolor="#000000" stroked="false">
          <v:fill type="solid"/>
          <w10:wrap type="none"/>
        </v:rect>
      </w:pict>
    </w:r>
    <w:r>
      <w:rPr/>
      <w:pict>
        <v:shape style="position:absolute;margin-left:89.024002pt;margin-top:42.865608pt;width:173.4pt;height:12pt;mso-position-horizontal-relative:page;mso-position-vertical-relative:page;z-index:-17690624" type="#_x0000_t202" id="docshape259"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90112" type="#_x0000_t202" id="docshape260"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9600" id="docshape261" filled="true" fillcolor="#000000" stroked="false">
          <v:fill type="solid"/>
          <w10:wrap type="none"/>
        </v:rect>
      </w:pict>
    </w:r>
    <w:r>
      <w:rPr/>
      <w:pict>
        <v:shape style="position:absolute;margin-left:89.024002pt;margin-top:42.865608pt;width:132.7pt;height:12pt;mso-position-horizontal-relative:page;mso-position-vertical-relative:page;z-index:-17689088" type="#_x0000_t202" id="docshape262"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88576" type="#_x0000_t202" id="docshape263"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8064" id="docshape264" filled="true" fillcolor="#000000" stroked="false">
          <v:fill type="solid"/>
          <w10:wrap type="none"/>
        </v:rect>
      </w:pict>
    </w:r>
    <w:r>
      <w:rPr/>
      <w:pict>
        <v:shape style="position:absolute;margin-left:89.024002pt;margin-top:42.865608pt;width:173.4pt;height:12pt;mso-position-horizontal-relative:page;mso-position-vertical-relative:page;z-index:-17687552" type="#_x0000_t202" id="docshape26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87040" type="#_x0000_t202" id="docshape26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6528" id="docshape267" filled="true" fillcolor="#000000" stroked="false">
          <v:fill type="solid"/>
          <w10:wrap type="none"/>
        </v:rect>
      </w:pict>
    </w:r>
    <w:r>
      <w:rPr/>
      <w:pict>
        <v:shape style="position:absolute;margin-left:89.024002pt;margin-top:42.865608pt;width:132.7pt;height:12pt;mso-position-horizontal-relative:page;mso-position-vertical-relative:page;z-index:-17686016" type="#_x0000_t202" id="docshape26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85504" type="#_x0000_t202" id="docshape26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4992" id="docshape270" filled="true" fillcolor="#000000" stroked="false">
          <v:fill type="solid"/>
          <w10:wrap type="none"/>
        </v:rect>
      </w:pict>
    </w:r>
    <w:r>
      <w:rPr/>
      <w:pict>
        <v:shape style="position:absolute;margin-left:89.024002pt;margin-top:42.865608pt;width:173.4pt;height:12pt;mso-position-horizontal-relative:page;mso-position-vertical-relative:page;z-index:-17684480" type="#_x0000_t202" id="docshape27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83968" type="#_x0000_t202" id="docshape27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3456" id="docshape273" filled="true" fillcolor="#000000" stroked="false">
          <v:fill type="solid"/>
          <w10:wrap type="none"/>
        </v:rect>
      </w:pict>
    </w:r>
    <w:r>
      <w:rPr/>
      <w:pict>
        <v:shape style="position:absolute;margin-left:89.024002pt;margin-top:42.865608pt;width:132.7pt;height:12pt;mso-position-horizontal-relative:page;mso-position-vertical-relative:page;z-index:-17682944" type="#_x0000_t202" id="docshape27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82432" type="#_x0000_t202" id="docshape27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1920" id="docshape276" filled="true" fillcolor="#000000" stroked="false">
          <v:fill type="solid"/>
          <w10:wrap type="none"/>
        </v:rect>
      </w:pict>
    </w:r>
    <w:r>
      <w:rPr/>
      <w:pict>
        <v:shape style="position:absolute;margin-left:89.024002pt;margin-top:42.865608pt;width:173.4pt;height:12pt;mso-position-horizontal-relative:page;mso-position-vertical-relative:page;z-index:-17681408" type="#_x0000_t202" id="docshape27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80896" type="#_x0000_t202" id="docshape27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80384" id="docshape279" filled="true" fillcolor="#000000" stroked="false">
          <v:fill type="solid"/>
          <w10:wrap type="none"/>
        </v:rect>
      </w:pict>
    </w:r>
    <w:r>
      <w:rPr/>
      <w:pict>
        <v:shape style="position:absolute;margin-left:89.024002pt;margin-top:42.865608pt;width:132.7pt;height:12pt;mso-position-horizontal-relative:page;mso-position-vertical-relative:page;z-index:-17679872" type="#_x0000_t202" id="docshape280"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79360" type="#_x0000_t202" id="docshape281"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803264" id="docshape37" filled="true" fillcolor="#000000" stroked="false">
          <v:fill type="solid"/>
          <w10:wrap type="none"/>
        </v:rect>
      </w:pict>
    </w:r>
    <w:r>
      <w:rPr/>
      <w:pict>
        <v:shape style="position:absolute;margin-left:89.024002pt;margin-top:42.865608pt;width:132.7pt;height:12pt;mso-position-horizontal-relative:page;mso-position-vertical-relative:page;z-index:-17802752" type="#_x0000_t202" id="docshape3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802240" type="#_x0000_t202" id="docshape3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8848" id="docshape282" filled="true" fillcolor="#000000" stroked="false">
          <v:fill type="solid"/>
          <w10:wrap type="none"/>
        </v:rect>
      </w:pict>
    </w:r>
    <w:r>
      <w:rPr/>
      <w:pict>
        <v:shape style="position:absolute;margin-left:89.024002pt;margin-top:42.865608pt;width:173.4pt;height:12pt;mso-position-horizontal-relative:page;mso-position-vertical-relative:page;z-index:-17678336" type="#_x0000_t202" id="docshape283"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77824" type="#_x0000_t202" id="docshape284"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7312" id="docshape285" filled="true" fillcolor="#000000" stroked="false">
          <v:fill type="solid"/>
          <w10:wrap type="none"/>
        </v:rect>
      </w:pict>
    </w:r>
    <w:r>
      <w:rPr/>
      <w:pict>
        <v:shape style="position:absolute;margin-left:89.024002pt;margin-top:42.865608pt;width:132.7pt;height:12pt;mso-position-horizontal-relative:page;mso-position-vertical-relative:page;z-index:-17676800" type="#_x0000_t202" id="docshape286"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76288" type="#_x0000_t202" id="docshape287"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5776" id="docshape288" filled="true" fillcolor="#000000" stroked="false">
          <v:fill type="solid"/>
          <w10:wrap type="none"/>
        </v:rect>
      </w:pict>
    </w:r>
    <w:r>
      <w:rPr/>
      <w:pict>
        <v:shape style="position:absolute;margin-left:89.024002pt;margin-top:42.865608pt;width:173.4pt;height:12pt;mso-position-horizontal-relative:page;mso-position-vertical-relative:page;z-index:-17675264" type="#_x0000_t202" id="docshape289"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74752" type="#_x0000_t202" id="docshape290"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4240" id="docshape291" filled="true" fillcolor="#000000" stroked="false">
          <v:fill type="solid"/>
          <w10:wrap type="none"/>
        </v:rect>
      </w:pict>
    </w:r>
    <w:r>
      <w:rPr/>
      <w:pict>
        <v:shape style="position:absolute;margin-left:89.024002pt;margin-top:42.865608pt;width:132.7pt;height:12pt;mso-position-horizontal-relative:page;mso-position-vertical-relative:page;z-index:-17673728" type="#_x0000_t202" id="docshape292"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73216" type="#_x0000_t202" id="docshape293"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2704" id="docshape294" filled="true" fillcolor="#000000" stroked="false">
          <v:fill type="solid"/>
          <w10:wrap type="none"/>
        </v:rect>
      </w:pict>
    </w:r>
    <w:r>
      <w:rPr/>
      <w:pict>
        <v:shape style="position:absolute;margin-left:89.024002pt;margin-top:42.865608pt;width:173.4pt;height:12pt;mso-position-horizontal-relative:page;mso-position-vertical-relative:page;z-index:-17672192" type="#_x0000_t202" id="docshape295"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71680" type="#_x0000_t202" id="docshape296"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71168" id="docshape297" filled="true" fillcolor="#000000" stroked="false">
          <v:fill type="solid"/>
          <w10:wrap type="none"/>
        </v:rect>
      </w:pict>
    </w:r>
    <w:r>
      <w:rPr/>
      <w:pict>
        <v:shape style="position:absolute;margin-left:89.024002pt;margin-top:42.865608pt;width:132.7pt;height:12pt;mso-position-horizontal-relative:page;mso-position-vertical-relative:page;z-index:-17670656" type="#_x0000_t202" id="docshape298"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70144" type="#_x0000_t202" id="docshape299"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69632" id="docshape300" filled="true" fillcolor="#000000" stroked="false">
          <v:fill type="solid"/>
          <w10:wrap type="none"/>
        </v:rect>
      </w:pict>
    </w:r>
    <w:r>
      <w:rPr/>
      <w:pict>
        <v:shape style="position:absolute;margin-left:89.024002pt;margin-top:42.865608pt;width:173.4pt;height:12pt;mso-position-horizontal-relative:page;mso-position-vertical-relative:page;z-index:-17669120" type="#_x0000_t202" id="docshape301"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68608" type="#_x0000_t202" id="docshape302"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68096" id="docshape303" filled="true" fillcolor="#000000" stroked="false">
          <v:fill type="solid"/>
          <w10:wrap type="none"/>
        </v:rect>
      </w:pict>
    </w:r>
    <w:r>
      <w:rPr/>
      <w:pict>
        <v:shape style="position:absolute;margin-left:89.024002pt;margin-top:42.865608pt;width:132.7pt;height:12pt;mso-position-horizontal-relative:page;mso-position-vertical-relative:page;z-index:-17667584" type="#_x0000_t202" id="docshape304" filled="false" stroked="false">
          <v:textbox inset="0,0,0,0">
            <w:txbxContent>
              <w:p>
                <w:pPr>
                  <w:spacing w:line="225" w:lineRule="exact" w:before="0"/>
                  <w:ind w:left="20" w:right="0" w:firstLine="0"/>
                  <w:jc w:val="left"/>
                  <w:rPr>
                    <w:rFonts w:ascii="Calibri" w:eastAsia="Calibri"/>
                    <w:sz w:val="18"/>
                  </w:rPr>
                </w:pPr>
                <w:r>
                  <w:rPr>
                    <w:rFonts w:ascii="宋体" w:eastAsia="宋体"/>
                    <w:sz w:val="18"/>
                  </w:rPr>
                  <w:t>中国信息通信研究院</w:t>
                </w:r>
                <w:r>
                  <w:rPr>
                    <w:rFonts w:ascii="Calibri" w:eastAsia="Calibri"/>
                    <w:sz w:val="18"/>
                  </w:rPr>
                  <w:t>&amp;CCSA</w:t>
                </w:r>
                <w:r>
                  <w:rPr>
                    <w:rFonts w:ascii="Calibri" w:eastAsia="Calibri"/>
                    <w:spacing w:val="-7"/>
                    <w:sz w:val="18"/>
                  </w:rPr>
                  <w:t> </w:t>
                </w:r>
                <w:r>
                  <w:rPr>
                    <w:rFonts w:ascii="Calibri" w:eastAsia="Calibri"/>
                    <w:spacing w:val="-2"/>
                    <w:sz w:val="18"/>
                  </w:rPr>
                  <w:t>TC601</w:t>
                </w:r>
              </w:p>
            </w:txbxContent>
          </v:textbox>
          <w10:wrap type="none"/>
        </v:shape>
      </w:pict>
    </w:r>
    <w:r>
      <w:rPr/>
      <w:pict>
        <v:shape style="position:absolute;margin-left:345.98999pt;margin-top:42.865608pt;width:164.9pt;height:12pt;mso-position-horizontal-relative:page;mso-position-vertical-relative:page;z-index:-17667072" type="#_x0000_t202" id="docshape305" filled="false" stroked="false">
          <v:textbox inset="0,0,0,0">
            <w:txbxContent>
              <w:p>
                <w:pPr>
                  <w:spacing w:line="225" w:lineRule="exact" w:before="0"/>
                  <w:ind w:left="20" w:right="0" w:firstLine="0"/>
                  <w:jc w:val="left"/>
                  <w:rPr>
                    <w:rFonts w:ascii="宋体" w:eastAsia="宋体"/>
                    <w:sz w:val="18"/>
                  </w:rPr>
                </w:pPr>
                <w:r>
                  <w:rPr>
                    <w:rFonts w:ascii="宋体" w:eastAsia="宋体"/>
                    <w:spacing w:val="-8"/>
                    <w:sz w:val="18"/>
                  </w:rPr>
                  <w:t>数据资产管理实践白皮书</w:t>
                </w:r>
                <w:r>
                  <w:rPr>
                    <w:rFonts w:ascii="宋体" w:eastAsia="宋体"/>
                    <w:sz w:val="18"/>
                  </w:rPr>
                  <w:t>（</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75"/>
                    <w:sz w:val="18"/>
                  </w:rPr>
                  <w:t>）</w:t>
                </w:r>
                <w:r>
                  <w:rPr>
                    <w:rFonts w:ascii="宋体" w:eastAsia="宋体"/>
                    <w:sz w:val="18"/>
                  </w:rPr>
                  <w:t>（</w:t>
                </w:r>
                <w:r>
                  <w:rPr>
                    <w:rFonts w:ascii="Calibri" w:eastAsia="Calibri"/>
                    <w:sz w:val="18"/>
                  </w:rPr>
                  <w:t>2018</w:t>
                </w:r>
                <w:r>
                  <w:rPr>
                    <w:rFonts w:ascii="宋体" w:eastAsia="宋体"/>
                    <w:spacing w:val="1"/>
                    <w:sz w:val="18"/>
                  </w:rPr>
                  <w:t>）</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584pt;margin-top:55.199982pt;width:418.27pt;height:.72pt;mso-position-horizontal-relative:page;mso-position-vertical-relative:page;z-index:-17666560" id="docshape306" filled="true" fillcolor="#000000" stroked="false">
          <v:fill type="solid"/>
          <w10:wrap type="none"/>
        </v:rect>
      </w:pict>
    </w:r>
    <w:r>
      <w:rPr/>
      <w:pict>
        <v:shape style="position:absolute;margin-left:89.024002pt;margin-top:42.865608pt;width:173.4pt;height:12pt;mso-position-horizontal-relative:page;mso-position-vertical-relative:page;z-index:-17666048" type="#_x0000_t202" id="docshape307" filled="false" stroked="false">
          <v:textbox inset="0,0,0,0">
            <w:txbxContent>
              <w:p>
                <w:pPr>
                  <w:spacing w:line="225" w:lineRule="exact" w:before="0"/>
                  <w:ind w:left="20" w:right="0" w:firstLine="0"/>
                  <w:jc w:val="left"/>
                  <w:rPr>
                    <w:rFonts w:ascii="宋体" w:eastAsia="宋体"/>
                    <w:sz w:val="18"/>
                  </w:rPr>
                </w:pPr>
                <w:r>
                  <w:rPr>
                    <w:rFonts w:ascii="宋体" w:eastAsia="宋体"/>
                    <w:sz w:val="18"/>
                  </w:rPr>
                  <w:t>数据资产管理实践白皮书（</w:t>
                </w:r>
                <w:r>
                  <w:rPr>
                    <w:rFonts w:ascii="Calibri" w:eastAsia="Calibri"/>
                    <w:sz w:val="18"/>
                  </w:rPr>
                  <w:t>3.0</w:t>
                </w:r>
                <w:r>
                  <w:rPr>
                    <w:rFonts w:ascii="Calibri" w:eastAsia="Calibri"/>
                    <w:spacing w:val="1"/>
                    <w:sz w:val="18"/>
                  </w:rPr>
                  <w:t> </w:t>
                </w:r>
                <w:r>
                  <w:rPr>
                    <w:rFonts w:ascii="宋体" w:eastAsia="宋体"/>
                    <w:sz w:val="18"/>
                  </w:rPr>
                  <w:t>版</w:t>
                </w:r>
                <w:r>
                  <w:rPr>
                    <w:rFonts w:ascii="宋体" w:eastAsia="宋体"/>
                    <w:spacing w:val="-13"/>
                    <w:sz w:val="18"/>
                  </w:rPr>
                  <w:t>）（</w:t>
                </w:r>
                <w:r>
                  <w:rPr>
                    <w:rFonts w:ascii="Calibri" w:eastAsia="Calibri"/>
                    <w:spacing w:val="-13"/>
                    <w:sz w:val="18"/>
                  </w:rPr>
                  <w:t>2018</w:t>
                </w:r>
                <w:r>
                  <w:rPr>
                    <w:rFonts w:ascii="宋体" w:eastAsia="宋体"/>
                    <w:spacing w:val="-13"/>
                    <w:sz w:val="18"/>
                  </w:rPr>
                  <w:t>）</w:t>
                </w:r>
              </w:p>
            </w:txbxContent>
          </v:textbox>
          <w10:wrap type="none"/>
        </v:shape>
      </w:pict>
    </w:r>
    <w:r>
      <w:rPr/>
      <w:pict>
        <v:shape style="position:absolute;margin-left:373.230011pt;margin-top:42.865608pt;width:132.5pt;height:12pt;mso-position-horizontal-relative:page;mso-position-vertical-relative:page;z-index:-17665536" type="#_x0000_t202" id="docshape308" filled="false" stroked="false">
          <v:textbox inset="0,0,0,0">
            <w:txbxContent>
              <w:p>
                <w:pPr>
                  <w:spacing w:line="225" w:lineRule="exact" w:before="0"/>
                  <w:ind w:left="20" w:right="0" w:firstLine="0"/>
                  <w:jc w:val="left"/>
                  <w:rPr>
                    <w:rFonts w:ascii="Calibri" w:eastAsia="Calibri"/>
                    <w:sz w:val="18"/>
                  </w:rPr>
                </w:pPr>
                <w:r>
                  <w:rPr>
                    <w:rFonts w:ascii="宋体" w:eastAsia="宋体"/>
                    <w:spacing w:val="-2"/>
                    <w:sz w:val="18"/>
                  </w:rPr>
                  <w:t>中国信息通信研究院</w:t>
                </w:r>
                <w:r>
                  <w:rPr>
                    <w:rFonts w:ascii="Calibri" w:eastAsia="Calibri"/>
                    <w:spacing w:val="-2"/>
                    <w:sz w:val="18"/>
                  </w:rPr>
                  <w:t>&amp;CCSA</w:t>
                </w:r>
                <w:r>
                  <w:rPr>
                    <w:rFonts w:ascii="Calibri" w:eastAsia="Calibri"/>
                    <w:spacing w:val="17"/>
                    <w:sz w:val="18"/>
                  </w:rPr>
                  <w:t> </w:t>
                </w:r>
                <w:r>
                  <w:rPr>
                    <w:rFonts w:ascii="Calibri" w:eastAsia="Calibri"/>
                    <w:spacing w:val="-2"/>
                    <w:sz w:val="18"/>
                  </w:rPr>
                  <w:t>TC601</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2258" w:hanging="260"/>
        <w:jc w:val="left"/>
      </w:pPr>
      <w:rPr>
        <w:rFonts w:hint="default" w:ascii="Times New Roman" w:hAnsi="Times New Roman" w:eastAsia="Times New Roman" w:cs="Times New Roman"/>
        <w:b w:val="0"/>
        <w:bCs w:val="0"/>
        <w:i w:val="0"/>
        <w:iCs w:val="0"/>
        <w:spacing w:val="9"/>
        <w:w w:val="98"/>
        <w:sz w:val="30"/>
        <w:szCs w:val="30"/>
        <w:lang w:val="en-US" w:eastAsia="zh-cn" w:bidi="ar-SA"/>
      </w:rPr>
    </w:lvl>
    <w:lvl w:ilvl="1">
      <w:start w:val="0"/>
      <w:numFmt w:val="bullet"/>
      <w:lvlText w:val="•"/>
      <w:lvlJc w:val="left"/>
      <w:pPr>
        <w:ind w:left="3128" w:hanging="260"/>
      </w:pPr>
      <w:rPr>
        <w:rFonts w:hint="default"/>
        <w:lang w:val="en-US" w:eastAsia="zh-cn" w:bidi="ar-SA"/>
      </w:rPr>
    </w:lvl>
    <w:lvl w:ilvl="2">
      <w:start w:val="0"/>
      <w:numFmt w:val="bullet"/>
      <w:lvlText w:val="•"/>
      <w:lvlJc w:val="left"/>
      <w:pPr>
        <w:ind w:left="3997" w:hanging="260"/>
      </w:pPr>
      <w:rPr>
        <w:rFonts w:hint="default"/>
        <w:lang w:val="en-US" w:eastAsia="zh-cn" w:bidi="ar-SA"/>
      </w:rPr>
    </w:lvl>
    <w:lvl w:ilvl="3">
      <w:start w:val="0"/>
      <w:numFmt w:val="bullet"/>
      <w:lvlText w:val="•"/>
      <w:lvlJc w:val="left"/>
      <w:pPr>
        <w:ind w:left="4865" w:hanging="260"/>
      </w:pPr>
      <w:rPr>
        <w:rFonts w:hint="default"/>
        <w:lang w:val="en-US" w:eastAsia="zh-cn" w:bidi="ar-SA"/>
      </w:rPr>
    </w:lvl>
    <w:lvl w:ilvl="4">
      <w:start w:val="0"/>
      <w:numFmt w:val="bullet"/>
      <w:lvlText w:val="•"/>
      <w:lvlJc w:val="left"/>
      <w:pPr>
        <w:ind w:left="5734" w:hanging="260"/>
      </w:pPr>
      <w:rPr>
        <w:rFonts w:hint="default"/>
        <w:lang w:val="en-US" w:eastAsia="zh-cn" w:bidi="ar-SA"/>
      </w:rPr>
    </w:lvl>
    <w:lvl w:ilvl="5">
      <w:start w:val="0"/>
      <w:numFmt w:val="bullet"/>
      <w:lvlText w:val="•"/>
      <w:lvlJc w:val="left"/>
      <w:pPr>
        <w:ind w:left="6603" w:hanging="260"/>
      </w:pPr>
      <w:rPr>
        <w:rFonts w:hint="default"/>
        <w:lang w:val="en-US" w:eastAsia="zh-cn" w:bidi="ar-SA"/>
      </w:rPr>
    </w:lvl>
    <w:lvl w:ilvl="6">
      <w:start w:val="0"/>
      <w:numFmt w:val="bullet"/>
      <w:lvlText w:val="•"/>
      <w:lvlJc w:val="left"/>
      <w:pPr>
        <w:ind w:left="7471" w:hanging="260"/>
      </w:pPr>
      <w:rPr>
        <w:rFonts w:hint="default"/>
        <w:lang w:val="en-US" w:eastAsia="zh-cn" w:bidi="ar-SA"/>
      </w:rPr>
    </w:lvl>
    <w:lvl w:ilvl="7">
      <w:start w:val="0"/>
      <w:numFmt w:val="bullet"/>
      <w:lvlText w:val="•"/>
      <w:lvlJc w:val="left"/>
      <w:pPr>
        <w:ind w:left="8340" w:hanging="260"/>
      </w:pPr>
      <w:rPr>
        <w:rFonts w:hint="default"/>
        <w:lang w:val="en-US" w:eastAsia="zh-cn" w:bidi="ar-SA"/>
      </w:rPr>
    </w:lvl>
    <w:lvl w:ilvl="8">
      <w:start w:val="0"/>
      <w:numFmt w:val="bullet"/>
      <w:lvlText w:val="•"/>
      <w:lvlJc w:val="left"/>
      <w:pPr>
        <w:ind w:left="9209" w:hanging="260"/>
      </w:pPr>
      <w:rPr>
        <w:rFonts w:hint="default"/>
        <w:lang w:val="en-US" w:eastAsia="zh-cn" w:bidi="ar-SA"/>
      </w:rPr>
    </w:lvl>
  </w:abstractNum>
  <w:abstractNum w:abstractNumId="24">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7">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3416" w:hanging="620"/>
      </w:pPr>
      <w:rPr>
        <w:rFonts w:hint="default"/>
        <w:lang w:val="en-US" w:eastAsia="zh-cn" w:bidi="ar-SA"/>
      </w:rPr>
    </w:lvl>
    <w:lvl w:ilvl="2">
      <w:start w:val="0"/>
      <w:numFmt w:val="bullet"/>
      <w:lvlText w:val="•"/>
      <w:lvlJc w:val="left"/>
      <w:pPr>
        <w:ind w:left="4253" w:hanging="620"/>
      </w:pPr>
      <w:rPr>
        <w:rFonts w:hint="default"/>
        <w:lang w:val="en-US" w:eastAsia="zh-cn" w:bidi="ar-SA"/>
      </w:rPr>
    </w:lvl>
    <w:lvl w:ilvl="3">
      <w:start w:val="0"/>
      <w:numFmt w:val="bullet"/>
      <w:lvlText w:val="•"/>
      <w:lvlJc w:val="left"/>
      <w:pPr>
        <w:ind w:left="5089" w:hanging="620"/>
      </w:pPr>
      <w:rPr>
        <w:rFonts w:hint="default"/>
        <w:lang w:val="en-US" w:eastAsia="zh-cn" w:bidi="ar-SA"/>
      </w:rPr>
    </w:lvl>
    <w:lvl w:ilvl="4">
      <w:start w:val="0"/>
      <w:numFmt w:val="bullet"/>
      <w:lvlText w:val="•"/>
      <w:lvlJc w:val="left"/>
      <w:pPr>
        <w:ind w:left="5926" w:hanging="620"/>
      </w:pPr>
      <w:rPr>
        <w:rFonts w:hint="default"/>
        <w:lang w:val="en-US" w:eastAsia="zh-cn" w:bidi="ar-SA"/>
      </w:rPr>
    </w:lvl>
    <w:lvl w:ilvl="5">
      <w:start w:val="0"/>
      <w:numFmt w:val="bullet"/>
      <w:lvlText w:val="•"/>
      <w:lvlJc w:val="left"/>
      <w:pPr>
        <w:ind w:left="6763" w:hanging="620"/>
      </w:pPr>
      <w:rPr>
        <w:rFonts w:hint="default"/>
        <w:lang w:val="en-US" w:eastAsia="zh-cn" w:bidi="ar-SA"/>
      </w:rPr>
    </w:lvl>
    <w:lvl w:ilvl="6">
      <w:start w:val="0"/>
      <w:numFmt w:val="bullet"/>
      <w:lvlText w:val="•"/>
      <w:lvlJc w:val="left"/>
      <w:pPr>
        <w:ind w:left="7599" w:hanging="620"/>
      </w:pPr>
      <w:rPr>
        <w:rFonts w:hint="default"/>
        <w:lang w:val="en-US" w:eastAsia="zh-cn" w:bidi="ar-SA"/>
      </w:rPr>
    </w:lvl>
    <w:lvl w:ilvl="7">
      <w:start w:val="0"/>
      <w:numFmt w:val="bullet"/>
      <w:lvlText w:val="•"/>
      <w:lvlJc w:val="left"/>
      <w:pPr>
        <w:ind w:left="8436" w:hanging="620"/>
      </w:pPr>
      <w:rPr>
        <w:rFonts w:hint="default"/>
        <w:lang w:val="en-US" w:eastAsia="zh-cn" w:bidi="ar-SA"/>
      </w:rPr>
    </w:lvl>
    <w:lvl w:ilvl="8">
      <w:start w:val="0"/>
      <w:numFmt w:val="bullet"/>
      <w:lvlText w:val="•"/>
      <w:lvlJc w:val="left"/>
      <w:pPr>
        <w:ind w:left="9273" w:hanging="620"/>
      </w:pPr>
      <w:rPr>
        <w:rFonts w:hint="default"/>
        <w:lang w:val="en-US" w:eastAsia="zh-cn" w:bidi="ar-SA"/>
      </w:rPr>
    </w:lvl>
  </w:abstractNum>
  <w:abstractNum w:abstractNumId="33">
    <w:multiLevelType w:val="hybridMultilevel"/>
    <w:lvl w:ilvl="0">
      <w:start w:val="1"/>
      <w:numFmt w:val="decimal"/>
      <w:lvlText w:val="（%1）"/>
      <w:lvlJc w:val="left"/>
      <w:pPr>
        <w:ind w:left="1320" w:hanging="707"/>
        <w:jc w:val="left"/>
      </w:pPr>
      <w:rPr>
        <w:rFonts w:hint="default" w:ascii="仿宋" w:hAnsi="仿宋" w:eastAsia="仿宋" w:cs="仿宋"/>
        <w:b w:val="0"/>
        <w:bCs w:val="0"/>
        <w:i w:val="0"/>
        <w:iCs w:val="0"/>
        <w:spacing w:val="0"/>
        <w:w w:val="100"/>
        <w:sz w:val="26"/>
        <w:szCs w:val="26"/>
        <w:lang w:val="en-US" w:eastAsia="zh-cn" w:bidi="ar-SA"/>
      </w:rPr>
    </w:lvl>
    <w:lvl w:ilvl="1">
      <w:start w:val="1"/>
      <w:numFmt w:val="decimal"/>
      <w:lvlText w:val="%2."/>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2">
      <w:start w:val="0"/>
      <w:numFmt w:val="bullet"/>
      <w:lvlText w:val="•"/>
      <w:lvlJc w:val="left"/>
      <w:pPr>
        <w:ind w:left="3171" w:hanging="242"/>
      </w:pPr>
      <w:rPr>
        <w:rFonts w:hint="default"/>
        <w:lang w:val="en-US" w:eastAsia="zh-cn" w:bidi="ar-SA"/>
      </w:rPr>
    </w:lvl>
    <w:lvl w:ilvl="3">
      <w:start w:val="0"/>
      <w:numFmt w:val="bullet"/>
      <w:lvlText w:val="•"/>
      <w:lvlJc w:val="left"/>
      <w:pPr>
        <w:ind w:left="4143" w:hanging="242"/>
      </w:pPr>
      <w:rPr>
        <w:rFonts w:hint="default"/>
        <w:lang w:val="en-US" w:eastAsia="zh-cn" w:bidi="ar-SA"/>
      </w:rPr>
    </w:lvl>
    <w:lvl w:ilvl="4">
      <w:start w:val="0"/>
      <w:numFmt w:val="bullet"/>
      <w:lvlText w:val="•"/>
      <w:lvlJc w:val="left"/>
      <w:pPr>
        <w:ind w:left="5115" w:hanging="242"/>
      </w:pPr>
      <w:rPr>
        <w:rFonts w:hint="default"/>
        <w:lang w:val="en-US" w:eastAsia="zh-cn" w:bidi="ar-SA"/>
      </w:rPr>
    </w:lvl>
    <w:lvl w:ilvl="5">
      <w:start w:val="0"/>
      <w:numFmt w:val="bullet"/>
      <w:lvlText w:val="•"/>
      <w:lvlJc w:val="left"/>
      <w:pPr>
        <w:ind w:left="6087" w:hanging="242"/>
      </w:pPr>
      <w:rPr>
        <w:rFonts w:hint="default"/>
        <w:lang w:val="en-US" w:eastAsia="zh-cn" w:bidi="ar-SA"/>
      </w:rPr>
    </w:lvl>
    <w:lvl w:ilvl="6">
      <w:start w:val="0"/>
      <w:numFmt w:val="bullet"/>
      <w:lvlText w:val="•"/>
      <w:lvlJc w:val="left"/>
      <w:pPr>
        <w:ind w:left="7059" w:hanging="242"/>
      </w:pPr>
      <w:rPr>
        <w:rFonts w:hint="default"/>
        <w:lang w:val="en-US" w:eastAsia="zh-cn" w:bidi="ar-SA"/>
      </w:rPr>
    </w:lvl>
    <w:lvl w:ilvl="7">
      <w:start w:val="0"/>
      <w:numFmt w:val="bullet"/>
      <w:lvlText w:val="•"/>
      <w:lvlJc w:val="left"/>
      <w:pPr>
        <w:ind w:left="8030" w:hanging="242"/>
      </w:pPr>
      <w:rPr>
        <w:rFonts w:hint="default"/>
        <w:lang w:val="en-US" w:eastAsia="zh-cn" w:bidi="ar-SA"/>
      </w:rPr>
    </w:lvl>
    <w:lvl w:ilvl="8">
      <w:start w:val="0"/>
      <w:numFmt w:val="bullet"/>
      <w:lvlText w:val="•"/>
      <w:lvlJc w:val="left"/>
      <w:pPr>
        <w:ind w:left="9002" w:hanging="242"/>
      </w:pPr>
      <w:rPr>
        <w:rFonts w:hint="default"/>
        <w:lang w:val="en-US" w:eastAsia="zh-cn" w:bidi="ar-SA"/>
      </w:rPr>
    </w:lvl>
  </w:abstractNum>
  <w:abstractNum w:abstractNumId="31">
    <w:multiLevelType w:val="hybridMultilevel"/>
    <w:lvl w:ilvl="0">
      <w:start w:val="1"/>
      <w:numFmt w:val="decimal"/>
      <w:lvlText w:val="（%1）"/>
      <w:lvlJc w:val="left"/>
      <w:pPr>
        <w:ind w:left="2581" w:hanging="702"/>
        <w:jc w:val="left"/>
      </w:pPr>
      <w:rPr>
        <w:rFonts w:hint="default" w:ascii="仿宋" w:hAnsi="仿宋" w:eastAsia="仿宋" w:cs="仿宋"/>
        <w:b w:val="0"/>
        <w:bCs w:val="0"/>
        <w:i w:val="0"/>
        <w:iCs w:val="0"/>
        <w:spacing w:val="-2"/>
        <w:w w:val="100"/>
        <w:sz w:val="26"/>
        <w:szCs w:val="26"/>
        <w:lang w:val="en-US" w:eastAsia="zh-cn" w:bidi="ar-SA"/>
      </w:rPr>
    </w:lvl>
    <w:lvl w:ilvl="1">
      <w:start w:val="0"/>
      <w:numFmt w:val="bullet"/>
      <w:lvlText w:val="•"/>
      <w:lvlJc w:val="left"/>
      <w:pPr>
        <w:ind w:left="3416" w:hanging="702"/>
      </w:pPr>
      <w:rPr>
        <w:rFonts w:hint="default"/>
        <w:lang w:val="en-US" w:eastAsia="zh-cn" w:bidi="ar-SA"/>
      </w:rPr>
    </w:lvl>
    <w:lvl w:ilvl="2">
      <w:start w:val="0"/>
      <w:numFmt w:val="bullet"/>
      <w:lvlText w:val="•"/>
      <w:lvlJc w:val="left"/>
      <w:pPr>
        <w:ind w:left="4253" w:hanging="702"/>
      </w:pPr>
      <w:rPr>
        <w:rFonts w:hint="default"/>
        <w:lang w:val="en-US" w:eastAsia="zh-cn" w:bidi="ar-SA"/>
      </w:rPr>
    </w:lvl>
    <w:lvl w:ilvl="3">
      <w:start w:val="0"/>
      <w:numFmt w:val="bullet"/>
      <w:lvlText w:val="•"/>
      <w:lvlJc w:val="left"/>
      <w:pPr>
        <w:ind w:left="5089" w:hanging="702"/>
      </w:pPr>
      <w:rPr>
        <w:rFonts w:hint="default"/>
        <w:lang w:val="en-US" w:eastAsia="zh-cn" w:bidi="ar-SA"/>
      </w:rPr>
    </w:lvl>
    <w:lvl w:ilvl="4">
      <w:start w:val="0"/>
      <w:numFmt w:val="bullet"/>
      <w:lvlText w:val="•"/>
      <w:lvlJc w:val="left"/>
      <w:pPr>
        <w:ind w:left="5926" w:hanging="702"/>
      </w:pPr>
      <w:rPr>
        <w:rFonts w:hint="default"/>
        <w:lang w:val="en-US" w:eastAsia="zh-cn" w:bidi="ar-SA"/>
      </w:rPr>
    </w:lvl>
    <w:lvl w:ilvl="5">
      <w:start w:val="0"/>
      <w:numFmt w:val="bullet"/>
      <w:lvlText w:val="•"/>
      <w:lvlJc w:val="left"/>
      <w:pPr>
        <w:ind w:left="6763" w:hanging="702"/>
      </w:pPr>
      <w:rPr>
        <w:rFonts w:hint="default"/>
        <w:lang w:val="en-US" w:eastAsia="zh-cn" w:bidi="ar-SA"/>
      </w:rPr>
    </w:lvl>
    <w:lvl w:ilvl="6">
      <w:start w:val="0"/>
      <w:numFmt w:val="bullet"/>
      <w:lvlText w:val="•"/>
      <w:lvlJc w:val="left"/>
      <w:pPr>
        <w:ind w:left="7599" w:hanging="702"/>
      </w:pPr>
      <w:rPr>
        <w:rFonts w:hint="default"/>
        <w:lang w:val="en-US" w:eastAsia="zh-cn" w:bidi="ar-SA"/>
      </w:rPr>
    </w:lvl>
    <w:lvl w:ilvl="7">
      <w:start w:val="0"/>
      <w:numFmt w:val="bullet"/>
      <w:lvlText w:val="•"/>
      <w:lvlJc w:val="left"/>
      <w:pPr>
        <w:ind w:left="8436" w:hanging="702"/>
      </w:pPr>
      <w:rPr>
        <w:rFonts w:hint="default"/>
        <w:lang w:val="en-US" w:eastAsia="zh-cn" w:bidi="ar-SA"/>
      </w:rPr>
    </w:lvl>
    <w:lvl w:ilvl="8">
      <w:start w:val="0"/>
      <w:numFmt w:val="bullet"/>
      <w:lvlText w:val="•"/>
      <w:lvlJc w:val="left"/>
      <w:pPr>
        <w:ind w:left="9273" w:hanging="702"/>
      </w:pPr>
      <w:rPr>
        <w:rFonts w:hint="default"/>
        <w:lang w:val="en-US" w:eastAsia="zh-cn" w:bidi="ar-SA"/>
      </w:rPr>
    </w:lvl>
  </w:abstractNum>
  <w:abstractNum w:abstractNumId="30">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29">
    <w:multiLevelType w:val="hybridMultilevel"/>
    <w:lvl w:ilvl="0">
      <w:start w:val="0"/>
      <w:numFmt w:val="bullet"/>
      <w:lvlText w:val="•"/>
      <w:lvlJc w:val="left"/>
      <w:pPr>
        <w:ind w:left="2160" w:hanging="281"/>
      </w:pPr>
      <w:rPr>
        <w:rFonts w:hint="default" w:ascii="Times New Roman" w:hAnsi="Times New Roman" w:eastAsia="Times New Roman" w:cs="Times New Roman"/>
        <w:b w:val="0"/>
        <w:bCs w:val="0"/>
        <w:i w:val="0"/>
        <w:iCs w:val="0"/>
        <w:w w:val="100"/>
        <w:sz w:val="28"/>
        <w:szCs w:val="28"/>
        <w:lang w:val="en-US" w:eastAsia="zh-cn" w:bidi="ar-SA"/>
      </w:rPr>
    </w:lvl>
    <w:lvl w:ilvl="1">
      <w:start w:val="0"/>
      <w:numFmt w:val="bullet"/>
      <w:lvlText w:val="•"/>
      <w:lvlJc w:val="left"/>
      <w:pPr>
        <w:ind w:left="3038" w:hanging="281"/>
      </w:pPr>
      <w:rPr>
        <w:rFonts w:hint="default"/>
        <w:lang w:val="en-US" w:eastAsia="zh-cn" w:bidi="ar-SA"/>
      </w:rPr>
    </w:lvl>
    <w:lvl w:ilvl="2">
      <w:start w:val="0"/>
      <w:numFmt w:val="bullet"/>
      <w:lvlText w:val="•"/>
      <w:lvlJc w:val="left"/>
      <w:pPr>
        <w:ind w:left="3917" w:hanging="281"/>
      </w:pPr>
      <w:rPr>
        <w:rFonts w:hint="default"/>
        <w:lang w:val="en-US" w:eastAsia="zh-cn" w:bidi="ar-SA"/>
      </w:rPr>
    </w:lvl>
    <w:lvl w:ilvl="3">
      <w:start w:val="0"/>
      <w:numFmt w:val="bullet"/>
      <w:lvlText w:val="•"/>
      <w:lvlJc w:val="left"/>
      <w:pPr>
        <w:ind w:left="4795" w:hanging="281"/>
      </w:pPr>
      <w:rPr>
        <w:rFonts w:hint="default"/>
        <w:lang w:val="en-US" w:eastAsia="zh-cn" w:bidi="ar-SA"/>
      </w:rPr>
    </w:lvl>
    <w:lvl w:ilvl="4">
      <w:start w:val="0"/>
      <w:numFmt w:val="bullet"/>
      <w:lvlText w:val="•"/>
      <w:lvlJc w:val="left"/>
      <w:pPr>
        <w:ind w:left="5674" w:hanging="281"/>
      </w:pPr>
      <w:rPr>
        <w:rFonts w:hint="default"/>
        <w:lang w:val="en-US" w:eastAsia="zh-cn" w:bidi="ar-SA"/>
      </w:rPr>
    </w:lvl>
    <w:lvl w:ilvl="5">
      <w:start w:val="0"/>
      <w:numFmt w:val="bullet"/>
      <w:lvlText w:val="•"/>
      <w:lvlJc w:val="left"/>
      <w:pPr>
        <w:ind w:left="6553" w:hanging="281"/>
      </w:pPr>
      <w:rPr>
        <w:rFonts w:hint="default"/>
        <w:lang w:val="en-US" w:eastAsia="zh-cn" w:bidi="ar-SA"/>
      </w:rPr>
    </w:lvl>
    <w:lvl w:ilvl="6">
      <w:start w:val="0"/>
      <w:numFmt w:val="bullet"/>
      <w:lvlText w:val="•"/>
      <w:lvlJc w:val="left"/>
      <w:pPr>
        <w:ind w:left="7431" w:hanging="281"/>
      </w:pPr>
      <w:rPr>
        <w:rFonts w:hint="default"/>
        <w:lang w:val="en-US" w:eastAsia="zh-cn" w:bidi="ar-SA"/>
      </w:rPr>
    </w:lvl>
    <w:lvl w:ilvl="7">
      <w:start w:val="0"/>
      <w:numFmt w:val="bullet"/>
      <w:lvlText w:val="•"/>
      <w:lvlJc w:val="left"/>
      <w:pPr>
        <w:ind w:left="8310" w:hanging="281"/>
      </w:pPr>
      <w:rPr>
        <w:rFonts w:hint="default"/>
        <w:lang w:val="en-US" w:eastAsia="zh-cn" w:bidi="ar-SA"/>
      </w:rPr>
    </w:lvl>
    <w:lvl w:ilvl="8">
      <w:start w:val="0"/>
      <w:numFmt w:val="bullet"/>
      <w:lvlText w:val="•"/>
      <w:lvlJc w:val="left"/>
      <w:pPr>
        <w:ind w:left="9189" w:hanging="281"/>
      </w:pPr>
      <w:rPr>
        <w:rFonts w:hint="default"/>
        <w:lang w:val="en-US" w:eastAsia="zh-cn" w:bidi="ar-SA"/>
      </w:rPr>
    </w:lvl>
  </w:abstractNum>
  <w:abstractNum w:abstractNumId="28">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27">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2302" w:hanging="500"/>
      </w:pPr>
      <w:rPr>
        <w:rFonts w:hint="default" w:ascii="Wingdings" w:hAnsi="Wingdings" w:eastAsia="Wingdings" w:cs="Wingdings"/>
        <w:b w:val="0"/>
        <w:bCs w:val="0"/>
        <w:i w:val="0"/>
        <w:iCs w:val="0"/>
        <w:w w:val="100"/>
        <w:sz w:val="28"/>
        <w:szCs w:val="28"/>
        <w:lang w:val="en-US" w:eastAsia="zh-cn" w:bidi="ar-SA"/>
      </w:rPr>
    </w:lvl>
    <w:lvl w:ilvl="2">
      <w:start w:val="0"/>
      <w:numFmt w:val="bullet"/>
      <w:lvlText w:val="•"/>
      <w:lvlJc w:val="left"/>
      <w:pPr>
        <w:ind w:left="3260" w:hanging="500"/>
      </w:pPr>
      <w:rPr>
        <w:rFonts w:hint="default"/>
        <w:lang w:val="en-US" w:eastAsia="zh-cn" w:bidi="ar-SA"/>
      </w:rPr>
    </w:lvl>
    <w:lvl w:ilvl="3">
      <w:start w:val="0"/>
      <w:numFmt w:val="bullet"/>
      <w:lvlText w:val="•"/>
      <w:lvlJc w:val="left"/>
      <w:pPr>
        <w:ind w:left="4221" w:hanging="500"/>
      </w:pPr>
      <w:rPr>
        <w:rFonts w:hint="default"/>
        <w:lang w:val="en-US" w:eastAsia="zh-cn" w:bidi="ar-SA"/>
      </w:rPr>
    </w:lvl>
    <w:lvl w:ilvl="4">
      <w:start w:val="0"/>
      <w:numFmt w:val="bullet"/>
      <w:lvlText w:val="•"/>
      <w:lvlJc w:val="left"/>
      <w:pPr>
        <w:ind w:left="5182" w:hanging="500"/>
      </w:pPr>
      <w:rPr>
        <w:rFonts w:hint="default"/>
        <w:lang w:val="en-US" w:eastAsia="zh-cn" w:bidi="ar-SA"/>
      </w:rPr>
    </w:lvl>
    <w:lvl w:ilvl="5">
      <w:start w:val="0"/>
      <w:numFmt w:val="bullet"/>
      <w:lvlText w:val="•"/>
      <w:lvlJc w:val="left"/>
      <w:pPr>
        <w:ind w:left="6142" w:hanging="500"/>
      </w:pPr>
      <w:rPr>
        <w:rFonts w:hint="default"/>
        <w:lang w:val="en-US" w:eastAsia="zh-cn" w:bidi="ar-SA"/>
      </w:rPr>
    </w:lvl>
    <w:lvl w:ilvl="6">
      <w:start w:val="0"/>
      <w:numFmt w:val="bullet"/>
      <w:lvlText w:val="•"/>
      <w:lvlJc w:val="left"/>
      <w:pPr>
        <w:ind w:left="7103" w:hanging="500"/>
      </w:pPr>
      <w:rPr>
        <w:rFonts w:hint="default"/>
        <w:lang w:val="en-US" w:eastAsia="zh-cn" w:bidi="ar-SA"/>
      </w:rPr>
    </w:lvl>
    <w:lvl w:ilvl="7">
      <w:start w:val="0"/>
      <w:numFmt w:val="bullet"/>
      <w:lvlText w:val="•"/>
      <w:lvlJc w:val="left"/>
      <w:pPr>
        <w:ind w:left="8064" w:hanging="500"/>
      </w:pPr>
      <w:rPr>
        <w:rFonts w:hint="default"/>
        <w:lang w:val="en-US" w:eastAsia="zh-cn" w:bidi="ar-SA"/>
      </w:rPr>
    </w:lvl>
    <w:lvl w:ilvl="8">
      <w:start w:val="0"/>
      <w:numFmt w:val="bullet"/>
      <w:lvlText w:val="•"/>
      <w:lvlJc w:val="left"/>
      <w:pPr>
        <w:ind w:left="9024" w:hanging="500"/>
      </w:pPr>
      <w:rPr>
        <w:rFonts w:hint="default"/>
        <w:lang w:val="en-US" w:eastAsia="zh-cn" w:bidi="ar-SA"/>
      </w:rPr>
    </w:lvl>
  </w:abstractNum>
  <w:abstractNum w:abstractNumId="26">
    <w:multiLevelType w:val="hybridMultilevel"/>
    <w:lvl w:ilvl="0">
      <w:start w:val="0"/>
      <w:numFmt w:val="bullet"/>
      <w:lvlText w:val=""/>
      <w:lvlJc w:val="left"/>
      <w:pPr>
        <w:ind w:left="2302" w:hanging="500"/>
      </w:pPr>
      <w:rPr>
        <w:rFonts w:hint="default" w:ascii="Wingdings" w:hAnsi="Wingdings" w:eastAsia="Wingdings" w:cs="Wingdings"/>
        <w:b w:val="0"/>
        <w:bCs w:val="0"/>
        <w:i w:val="0"/>
        <w:iCs w:val="0"/>
        <w:w w:val="100"/>
        <w:sz w:val="28"/>
        <w:szCs w:val="28"/>
        <w:lang w:val="en-US" w:eastAsia="zh-cn" w:bidi="ar-SA"/>
      </w:rPr>
    </w:lvl>
    <w:lvl w:ilvl="1">
      <w:start w:val="0"/>
      <w:numFmt w:val="bullet"/>
      <w:lvlText w:val="•"/>
      <w:lvlJc w:val="left"/>
      <w:pPr>
        <w:ind w:left="3164" w:hanging="500"/>
      </w:pPr>
      <w:rPr>
        <w:rFonts w:hint="default"/>
        <w:lang w:val="en-US" w:eastAsia="zh-cn" w:bidi="ar-SA"/>
      </w:rPr>
    </w:lvl>
    <w:lvl w:ilvl="2">
      <w:start w:val="0"/>
      <w:numFmt w:val="bullet"/>
      <w:lvlText w:val="•"/>
      <w:lvlJc w:val="left"/>
      <w:pPr>
        <w:ind w:left="4029" w:hanging="500"/>
      </w:pPr>
      <w:rPr>
        <w:rFonts w:hint="default"/>
        <w:lang w:val="en-US" w:eastAsia="zh-cn" w:bidi="ar-SA"/>
      </w:rPr>
    </w:lvl>
    <w:lvl w:ilvl="3">
      <w:start w:val="0"/>
      <w:numFmt w:val="bullet"/>
      <w:lvlText w:val="•"/>
      <w:lvlJc w:val="left"/>
      <w:pPr>
        <w:ind w:left="4893" w:hanging="500"/>
      </w:pPr>
      <w:rPr>
        <w:rFonts w:hint="default"/>
        <w:lang w:val="en-US" w:eastAsia="zh-cn" w:bidi="ar-SA"/>
      </w:rPr>
    </w:lvl>
    <w:lvl w:ilvl="4">
      <w:start w:val="0"/>
      <w:numFmt w:val="bullet"/>
      <w:lvlText w:val="•"/>
      <w:lvlJc w:val="left"/>
      <w:pPr>
        <w:ind w:left="5758" w:hanging="500"/>
      </w:pPr>
      <w:rPr>
        <w:rFonts w:hint="default"/>
        <w:lang w:val="en-US" w:eastAsia="zh-cn" w:bidi="ar-SA"/>
      </w:rPr>
    </w:lvl>
    <w:lvl w:ilvl="5">
      <w:start w:val="0"/>
      <w:numFmt w:val="bullet"/>
      <w:lvlText w:val="•"/>
      <w:lvlJc w:val="left"/>
      <w:pPr>
        <w:ind w:left="6623" w:hanging="500"/>
      </w:pPr>
      <w:rPr>
        <w:rFonts w:hint="default"/>
        <w:lang w:val="en-US" w:eastAsia="zh-cn" w:bidi="ar-SA"/>
      </w:rPr>
    </w:lvl>
    <w:lvl w:ilvl="6">
      <w:start w:val="0"/>
      <w:numFmt w:val="bullet"/>
      <w:lvlText w:val="•"/>
      <w:lvlJc w:val="left"/>
      <w:pPr>
        <w:ind w:left="7487" w:hanging="500"/>
      </w:pPr>
      <w:rPr>
        <w:rFonts w:hint="default"/>
        <w:lang w:val="en-US" w:eastAsia="zh-cn" w:bidi="ar-SA"/>
      </w:rPr>
    </w:lvl>
    <w:lvl w:ilvl="7">
      <w:start w:val="0"/>
      <w:numFmt w:val="bullet"/>
      <w:lvlText w:val="•"/>
      <w:lvlJc w:val="left"/>
      <w:pPr>
        <w:ind w:left="8352" w:hanging="500"/>
      </w:pPr>
      <w:rPr>
        <w:rFonts w:hint="default"/>
        <w:lang w:val="en-US" w:eastAsia="zh-cn" w:bidi="ar-SA"/>
      </w:rPr>
    </w:lvl>
    <w:lvl w:ilvl="8">
      <w:start w:val="0"/>
      <w:numFmt w:val="bullet"/>
      <w:lvlText w:val="•"/>
      <w:lvlJc w:val="left"/>
      <w:pPr>
        <w:ind w:left="9217" w:hanging="500"/>
      </w:pPr>
      <w:rPr>
        <w:rFonts w:hint="default"/>
        <w:lang w:val="en-US" w:eastAsia="zh-cn" w:bidi="ar-SA"/>
      </w:rPr>
    </w:lvl>
  </w:abstractNum>
  <w:abstractNum w:abstractNumId="25">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23">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22">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2222" w:hanging="579"/>
      </w:pPr>
      <w:rPr>
        <w:rFonts w:hint="default" w:ascii="Wingdings" w:hAnsi="Wingdings" w:eastAsia="Wingdings" w:cs="Wingdings"/>
        <w:b w:val="0"/>
        <w:bCs w:val="0"/>
        <w:i w:val="0"/>
        <w:iCs w:val="0"/>
        <w:w w:val="100"/>
        <w:sz w:val="28"/>
        <w:szCs w:val="28"/>
        <w:lang w:val="en-US" w:eastAsia="zh-cn" w:bidi="ar-SA"/>
      </w:rPr>
    </w:lvl>
    <w:lvl w:ilvl="2">
      <w:start w:val="0"/>
      <w:numFmt w:val="bullet"/>
      <w:lvlText w:val="•"/>
      <w:lvlJc w:val="left"/>
      <w:pPr>
        <w:ind w:left="3189" w:hanging="579"/>
      </w:pPr>
      <w:rPr>
        <w:rFonts w:hint="default"/>
        <w:lang w:val="en-US" w:eastAsia="zh-cn" w:bidi="ar-SA"/>
      </w:rPr>
    </w:lvl>
    <w:lvl w:ilvl="3">
      <w:start w:val="0"/>
      <w:numFmt w:val="bullet"/>
      <w:lvlText w:val="•"/>
      <w:lvlJc w:val="left"/>
      <w:pPr>
        <w:ind w:left="4159" w:hanging="579"/>
      </w:pPr>
      <w:rPr>
        <w:rFonts w:hint="default"/>
        <w:lang w:val="en-US" w:eastAsia="zh-cn" w:bidi="ar-SA"/>
      </w:rPr>
    </w:lvl>
    <w:lvl w:ilvl="4">
      <w:start w:val="0"/>
      <w:numFmt w:val="bullet"/>
      <w:lvlText w:val="•"/>
      <w:lvlJc w:val="left"/>
      <w:pPr>
        <w:ind w:left="5128" w:hanging="579"/>
      </w:pPr>
      <w:rPr>
        <w:rFonts w:hint="default"/>
        <w:lang w:val="en-US" w:eastAsia="zh-cn" w:bidi="ar-SA"/>
      </w:rPr>
    </w:lvl>
    <w:lvl w:ilvl="5">
      <w:start w:val="0"/>
      <w:numFmt w:val="bullet"/>
      <w:lvlText w:val="•"/>
      <w:lvlJc w:val="left"/>
      <w:pPr>
        <w:ind w:left="6098" w:hanging="579"/>
      </w:pPr>
      <w:rPr>
        <w:rFonts w:hint="default"/>
        <w:lang w:val="en-US" w:eastAsia="zh-cn" w:bidi="ar-SA"/>
      </w:rPr>
    </w:lvl>
    <w:lvl w:ilvl="6">
      <w:start w:val="0"/>
      <w:numFmt w:val="bullet"/>
      <w:lvlText w:val="•"/>
      <w:lvlJc w:val="left"/>
      <w:pPr>
        <w:ind w:left="7068" w:hanging="579"/>
      </w:pPr>
      <w:rPr>
        <w:rFonts w:hint="default"/>
        <w:lang w:val="en-US" w:eastAsia="zh-cn" w:bidi="ar-SA"/>
      </w:rPr>
    </w:lvl>
    <w:lvl w:ilvl="7">
      <w:start w:val="0"/>
      <w:numFmt w:val="bullet"/>
      <w:lvlText w:val="•"/>
      <w:lvlJc w:val="left"/>
      <w:pPr>
        <w:ind w:left="8037" w:hanging="579"/>
      </w:pPr>
      <w:rPr>
        <w:rFonts w:hint="default"/>
        <w:lang w:val="en-US" w:eastAsia="zh-cn" w:bidi="ar-SA"/>
      </w:rPr>
    </w:lvl>
    <w:lvl w:ilvl="8">
      <w:start w:val="0"/>
      <w:numFmt w:val="bullet"/>
      <w:lvlText w:val="•"/>
      <w:lvlJc w:val="left"/>
      <w:pPr>
        <w:ind w:left="9007" w:hanging="579"/>
      </w:pPr>
      <w:rPr>
        <w:rFonts w:hint="default"/>
        <w:lang w:val="en-US" w:eastAsia="zh-cn" w:bidi="ar-SA"/>
      </w:rPr>
    </w:lvl>
  </w:abstractNum>
  <w:abstractNum w:abstractNumId="21">
    <w:multiLevelType w:val="hybridMultilevel"/>
    <w:lvl w:ilvl="0">
      <w:start w:val="0"/>
      <w:numFmt w:val="bullet"/>
      <w:lvlText w:val="•"/>
      <w:lvlJc w:val="left"/>
      <w:pPr>
        <w:ind w:left="2160" w:hanging="281"/>
      </w:pPr>
      <w:rPr>
        <w:rFonts w:hint="default" w:ascii="Times New Roman" w:hAnsi="Times New Roman" w:eastAsia="Times New Roman" w:cs="Times New Roman"/>
        <w:b w:val="0"/>
        <w:bCs w:val="0"/>
        <w:i w:val="0"/>
        <w:iCs w:val="0"/>
        <w:w w:val="100"/>
        <w:sz w:val="28"/>
        <w:szCs w:val="28"/>
        <w:lang w:val="en-US" w:eastAsia="zh-cn" w:bidi="ar-SA"/>
      </w:rPr>
    </w:lvl>
    <w:lvl w:ilvl="1">
      <w:start w:val="0"/>
      <w:numFmt w:val="bullet"/>
      <w:lvlText w:val="•"/>
      <w:lvlJc w:val="left"/>
      <w:pPr>
        <w:ind w:left="3038" w:hanging="281"/>
      </w:pPr>
      <w:rPr>
        <w:rFonts w:hint="default"/>
        <w:lang w:val="en-US" w:eastAsia="zh-cn" w:bidi="ar-SA"/>
      </w:rPr>
    </w:lvl>
    <w:lvl w:ilvl="2">
      <w:start w:val="0"/>
      <w:numFmt w:val="bullet"/>
      <w:lvlText w:val="•"/>
      <w:lvlJc w:val="left"/>
      <w:pPr>
        <w:ind w:left="3917" w:hanging="281"/>
      </w:pPr>
      <w:rPr>
        <w:rFonts w:hint="default"/>
        <w:lang w:val="en-US" w:eastAsia="zh-cn" w:bidi="ar-SA"/>
      </w:rPr>
    </w:lvl>
    <w:lvl w:ilvl="3">
      <w:start w:val="0"/>
      <w:numFmt w:val="bullet"/>
      <w:lvlText w:val="•"/>
      <w:lvlJc w:val="left"/>
      <w:pPr>
        <w:ind w:left="4795" w:hanging="281"/>
      </w:pPr>
      <w:rPr>
        <w:rFonts w:hint="default"/>
        <w:lang w:val="en-US" w:eastAsia="zh-cn" w:bidi="ar-SA"/>
      </w:rPr>
    </w:lvl>
    <w:lvl w:ilvl="4">
      <w:start w:val="0"/>
      <w:numFmt w:val="bullet"/>
      <w:lvlText w:val="•"/>
      <w:lvlJc w:val="left"/>
      <w:pPr>
        <w:ind w:left="5674" w:hanging="281"/>
      </w:pPr>
      <w:rPr>
        <w:rFonts w:hint="default"/>
        <w:lang w:val="en-US" w:eastAsia="zh-cn" w:bidi="ar-SA"/>
      </w:rPr>
    </w:lvl>
    <w:lvl w:ilvl="5">
      <w:start w:val="0"/>
      <w:numFmt w:val="bullet"/>
      <w:lvlText w:val="•"/>
      <w:lvlJc w:val="left"/>
      <w:pPr>
        <w:ind w:left="6553" w:hanging="281"/>
      </w:pPr>
      <w:rPr>
        <w:rFonts w:hint="default"/>
        <w:lang w:val="en-US" w:eastAsia="zh-cn" w:bidi="ar-SA"/>
      </w:rPr>
    </w:lvl>
    <w:lvl w:ilvl="6">
      <w:start w:val="0"/>
      <w:numFmt w:val="bullet"/>
      <w:lvlText w:val="•"/>
      <w:lvlJc w:val="left"/>
      <w:pPr>
        <w:ind w:left="7431" w:hanging="281"/>
      </w:pPr>
      <w:rPr>
        <w:rFonts w:hint="default"/>
        <w:lang w:val="en-US" w:eastAsia="zh-cn" w:bidi="ar-SA"/>
      </w:rPr>
    </w:lvl>
    <w:lvl w:ilvl="7">
      <w:start w:val="0"/>
      <w:numFmt w:val="bullet"/>
      <w:lvlText w:val="•"/>
      <w:lvlJc w:val="left"/>
      <w:pPr>
        <w:ind w:left="8310" w:hanging="281"/>
      </w:pPr>
      <w:rPr>
        <w:rFonts w:hint="default"/>
        <w:lang w:val="en-US" w:eastAsia="zh-cn" w:bidi="ar-SA"/>
      </w:rPr>
    </w:lvl>
    <w:lvl w:ilvl="8">
      <w:start w:val="0"/>
      <w:numFmt w:val="bullet"/>
      <w:lvlText w:val="•"/>
      <w:lvlJc w:val="left"/>
      <w:pPr>
        <w:ind w:left="9189" w:hanging="281"/>
      </w:pPr>
      <w:rPr>
        <w:rFonts w:hint="default"/>
        <w:lang w:val="en-US" w:eastAsia="zh-cn" w:bidi="ar-SA"/>
      </w:rPr>
    </w:lvl>
  </w:abstractNum>
  <w:abstractNum w:abstractNumId="20">
    <w:multiLevelType w:val="hybridMultilevel"/>
    <w:lvl w:ilvl="0">
      <w:start w:val="1"/>
      <w:numFmt w:val="decimal"/>
      <w:lvlText w:val="%1."/>
      <w:lvlJc w:val="left"/>
      <w:pPr>
        <w:ind w:left="2203" w:hanging="243"/>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3"/>
      </w:pPr>
      <w:rPr>
        <w:rFonts w:hint="default"/>
        <w:lang w:val="en-US" w:eastAsia="zh-cn" w:bidi="ar-SA"/>
      </w:rPr>
    </w:lvl>
    <w:lvl w:ilvl="2">
      <w:start w:val="0"/>
      <w:numFmt w:val="bullet"/>
      <w:lvlText w:val="•"/>
      <w:lvlJc w:val="left"/>
      <w:pPr>
        <w:ind w:left="3949" w:hanging="243"/>
      </w:pPr>
      <w:rPr>
        <w:rFonts w:hint="default"/>
        <w:lang w:val="en-US" w:eastAsia="zh-cn" w:bidi="ar-SA"/>
      </w:rPr>
    </w:lvl>
    <w:lvl w:ilvl="3">
      <w:start w:val="0"/>
      <w:numFmt w:val="bullet"/>
      <w:lvlText w:val="•"/>
      <w:lvlJc w:val="left"/>
      <w:pPr>
        <w:ind w:left="4823" w:hanging="243"/>
      </w:pPr>
      <w:rPr>
        <w:rFonts w:hint="default"/>
        <w:lang w:val="en-US" w:eastAsia="zh-cn" w:bidi="ar-SA"/>
      </w:rPr>
    </w:lvl>
    <w:lvl w:ilvl="4">
      <w:start w:val="0"/>
      <w:numFmt w:val="bullet"/>
      <w:lvlText w:val="•"/>
      <w:lvlJc w:val="left"/>
      <w:pPr>
        <w:ind w:left="5698" w:hanging="243"/>
      </w:pPr>
      <w:rPr>
        <w:rFonts w:hint="default"/>
        <w:lang w:val="en-US" w:eastAsia="zh-cn" w:bidi="ar-SA"/>
      </w:rPr>
    </w:lvl>
    <w:lvl w:ilvl="5">
      <w:start w:val="0"/>
      <w:numFmt w:val="bullet"/>
      <w:lvlText w:val="•"/>
      <w:lvlJc w:val="left"/>
      <w:pPr>
        <w:ind w:left="6573" w:hanging="243"/>
      </w:pPr>
      <w:rPr>
        <w:rFonts w:hint="default"/>
        <w:lang w:val="en-US" w:eastAsia="zh-cn" w:bidi="ar-SA"/>
      </w:rPr>
    </w:lvl>
    <w:lvl w:ilvl="6">
      <w:start w:val="0"/>
      <w:numFmt w:val="bullet"/>
      <w:lvlText w:val="•"/>
      <w:lvlJc w:val="left"/>
      <w:pPr>
        <w:ind w:left="7447" w:hanging="243"/>
      </w:pPr>
      <w:rPr>
        <w:rFonts w:hint="default"/>
        <w:lang w:val="en-US" w:eastAsia="zh-cn" w:bidi="ar-SA"/>
      </w:rPr>
    </w:lvl>
    <w:lvl w:ilvl="7">
      <w:start w:val="0"/>
      <w:numFmt w:val="bullet"/>
      <w:lvlText w:val="•"/>
      <w:lvlJc w:val="left"/>
      <w:pPr>
        <w:ind w:left="8322" w:hanging="243"/>
      </w:pPr>
      <w:rPr>
        <w:rFonts w:hint="default"/>
        <w:lang w:val="en-US" w:eastAsia="zh-cn" w:bidi="ar-SA"/>
      </w:rPr>
    </w:lvl>
    <w:lvl w:ilvl="8">
      <w:start w:val="0"/>
      <w:numFmt w:val="bullet"/>
      <w:lvlText w:val="•"/>
      <w:lvlJc w:val="left"/>
      <w:pPr>
        <w:ind w:left="9197" w:hanging="243"/>
      </w:pPr>
      <w:rPr>
        <w:rFonts w:hint="default"/>
        <w:lang w:val="en-US" w:eastAsia="zh-cn" w:bidi="ar-SA"/>
      </w:rPr>
    </w:lvl>
  </w:abstractNum>
  <w:abstractNum w:abstractNumId="19">
    <w:multiLevelType w:val="hybridMultilevel"/>
    <w:lvl w:ilvl="0">
      <w:start w:val="0"/>
      <w:numFmt w:val="bullet"/>
      <w:lvlText w:val=""/>
      <w:lvlJc w:val="left"/>
      <w:pPr>
        <w:ind w:left="2222" w:hanging="579"/>
      </w:pPr>
      <w:rPr>
        <w:rFonts w:hint="default" w:ascii="Wingdings" w:hAnsi="Wingdings" w:eastAsia="Wingdings" w:cs="Wingdings"/>
        <w:b w:val="0"/>
        <w:bCs w:val="0"/>
        <w:i w:val="0"/>
        <w:iCs w:val="0"/>
        <w:w w:val="100"/>
        <w:sz w:val="28"/>
        <w:szCs w:val="28"/>
        <w:lang w:val="en-US" w:eastAsia="zh-cn" w:bidi="ar-SA"/>
      </w:rPr>
    </w:lvl>
    <w:lvl w:ilvl="1">
      <w:start w:val="0"/>
      <w:numFmt w:val="bullet"/>
      <w:lvlText w:val="•"/>
      <w:lvlJc w:val="left"/>
      <w:pPr>
        <w:ind w:left="3092" w:hanging="579"/>
      </w:pPr>
      <w:rPr>
        <w:rFonts w:hint="default"/>
        <w:lang w:val="en-US" w:eastAsia="zh-cn" w:bidi="ar-SA"/>
      </w:rPr>
    </w:lvl>
    <w:lvl w:ilvl="2">
      <w:start w:val="0"/>
      <w:numFmt w:val="bullet"/>
      <w:lvlText w:val="•"/>
      <w:lvlJc w:val="left"/>
      <w:pPr>
        <w:ind w:left="3965" w:hanging="579"/>
      </w:pPr>
      <w:rPr>
        <w:rFonts w:hint="default"/>
        <w:lang w:val="en-US" w:eastAsia="zh-cn" w:bidi="ar-SA"/>
      </w:rPr>
    </w:lvl>
    <w:lvl w:ilvl="3">
      <w:start w:val="0"/>
      <w:numFmt w:val="bullet"/>
      <w:lvlText w:val="•"/>
      <w:lvlJc w:val="left"/>
      <w:pPr>
        <w:ind w:left="4837" w:hanging="579"/>
      </w:pPr>
      <w:rPr>
        <w:rFonts w:hint="default"/>
        <w:lang w:val="en-US" w:eastAsia="zh-cn" w:bidi="ar-SA"/>
      </w:rPr>
    </w:lvl>
    <w:lvl w:ilvl="4">
      <w:start w:val="0"/>
      <w:numFmt w:val="bullet"/>
      <w:lvlText w:val="•"/>
      <w:lvlJc w:val="left"/>
      <w:pPr>
        <w:ind w:left="5710" w:hanging="579"/>
      </w:pPr>
      <w:rPr>
        <w:rFonts w:hint="default"/>
        <w:lang w:val="en-US" w:eastAsia="zh-cn" w:bidi="ar-SA"/>
      </w:rPr>
    </w:lvl>
    <w:lvl w:ilvl="5">
      <w:start w:val="0"/>
      <w:numFmt w:val="bullet"/>
      <w:lvlText w:val="•"/>
      <w:lvlJc w:val="left"/>
      <w:pPr>
        <w:ind w:left="6583" w:hanging="579"/>
      </w:pPr>
      <w:rPr>
        <w:rFonts w:hint="default"/>
        <w:lang w:val="en-US" w:eastAsia="zh-cn" w:bidi="ar-SA"/>
      </w:rPr>
    </w:lvl>
    <w:lvl w:ilvl="6">
      <w:start w:val="0"/>
      <w:numFmt w:val="bullet"/>
      <w:lvlText w:val="•"/>
      <w:lvlJc w:val="left"/>
      <w:pPr>
        <w:ind w:left="7455" w:hanging="579"/>
      </w:pPr>
      <w:rPr>
        <w:rFonts w:hint="default"/>
        <w:lang w:val="en-US" w:eastAsia="zh-cn" w:bidi="ar-SA"/>
      </w:rPr>
    </w:lvl>
    <w:lvl w:ilvl="7">
      <w:start w:val="0"/>
      <w:numFmt w:val="bullet"/>
      <w:lvlText w:val="•"/>
      <w:lvlJc w:val="left"/>
      <w:pPr>
        <w:ind w:left="8328" w:hanging="579"/>
      </w:pPr>
      <w:rPr>
        <w:rFonts w:hint="default"/>
        <w:lang w:val="en-US" w:eastAsia="zh-cn" w:bidi="ar-SA"/>
      </w:rPr>
    </w:lvl>
    <w:lvl w:ilvl="8">
      <w:start w:val="0"/>
      <w:numFmt w:val="bullet"/>
      <w:lvlText w:val="•"/>
      <w:lvlJc w:val="left"/>
      <w:pPr>
        <w:ind w:left="9201" w:hanging="579"/>
      </w:pPr>
      <w:rPr>
        <w:rFonts w:hint="default"/>
        <w:lang w:val="en-US" w:eastAsia="zh-cn" w:bidi="ar-SA"/>
      </w:rPr>
    </w:lvl>
  </w:abstractNum>
  <w:abstractNum w:abstractNumId="18">
    <w:multiLevelType w:val="hybridMultilevel"/>
    <w:lvl w:ilvl="0">
      <w:start w:val="0"/>
      <w:numFmt w:val="bullet"/>
      <w:lvlText w:val=""/>
      <w:lvlJc w:val="left"/>
      <w:pPr>
        <w:ind w:left="2302" w:hanging="500"/>
      </w:pPr>
      <w:rPr>
        <w:rFonts w:hint="default" w:ascii="Wingdings" w:hAnsi="Wingdings" w:eastAsia="Wingdings" w:cs="Wingdings"/>
        <w:b w:val="0"/>
        <w:bCs w:val="0"/>
        <w:i w:val="0"/>
        <w:iCs w:val="0"/>
        <w:w w:val="100"/>
        <w:sz w:val="28"/>
        <w:szCs w:val="28"/>
        <w:lang w:val="en-US" w:eastAsia="zh-cn" w:bidi="ar-SA"/>
      </w:rPr>
    </w:lvl>
    <w:lvl w:ilvl="1">
      <w:start w:val="0"/>
      <w:numFmt w:val="bullet"/>
      <w:lvlText w:val="•"/>
      <w:lvlJc w:val="left"/>
      <w:pPr>
        <w:ind w:left="3164" w:hanging="500"/>
      </w:pPr>
      <w:rPr>
        <w:rFonts w:hint="default"/>
        <w:lang w:val="en-US" w:eastAsia="zh-cn" w:bidi="ar-SA"/>
      </w:rPr>
    </w:lvl>
    <w:lvl w:ilvl="2">
      <w:start w:val="0"/>
      <w:numFmt w:val="bullet"/>
      <w:lvlText w:val="•"/>
      <w:lvlJc w:val="left"/>
      <w:pPr>
        <w:ind w:left="4029" w:hanging="500"/>
      </w:pPr>
      <w:rPr>
        <w:rFonts w:hint="default"/>
        <w:lang w:val="en-US" w:eastAsia="zh-cn" w:bidi="ar-SA"/>
      </w:rPr>
    </w:lvl>
    <w:lvl w:ilvl="3">
      <w:start w:val="0"/>
      <w:numFmt w:val="bullet"/>
      <w:lvlText w:val="•"/>
      <w:lvlJc w:val="left"/>
      <w:pPr>
        <w:ind w:left="4893" w:hanging="500"/>
      </w:pPr>
      <w:rPr>
        <w:rFonts w:hint="default"/>
        <w:lang w:val="en-US" w:eastAsia="zh-cn" w:bidi="ar-SA"/>
      </w:rPr>
    </w:lvl>
    <w:lvl w:ilvl="4">
      <w:start w:val="0"/>
      <w:numFmt w:val="bullet"/>
      <w:lvlText w:val="•"/>
      <w:lvlJc w:val="left"/>
      <w:pPr>
        <w:ind w:left="5758" w:hanging="500"/>
      </w:pPr>
      <w:rPr>
        <w:rFonts w:hint="default"/>
        <w:lang w:val="en-US" w:eastAsia="zh-cn" w:bidi="ar-SA"/>
      </w:rPr>
    </w:lvl>
    <w:lvl w:ilvl="5">
      <w:start w:val="0"/>
      <w:numFmt w:val="bullet"/>
      <w:lvlText w:val="•"/>
      <w:lvlJc w:val="left"/>
      <w:pPr>
        <w:ind w:left="6623" w:hanging="500"/>
      </w:pPr>
      <w:rPr>
        <w:rFonts w:hint="default"/>
        <w:lang w:val="en-US" w:eastAsia="zh-cn" w:bidi="ar-SA"/>
      </w:rPr>
    </w:lvl>
    <w:lvl w:ilvl="6">
      <w:start w:val="0"/>
      <w:numFmt w:val="bullet"/>
      <w:lvlText w:val="•"/>
      <w:lvlJc w:val="left"/>
      <w:pPr>
        <w:ind w:left="7487" w:hanging="500"/>
      </w:pPr>
      <w:rPr>
        <w:rFonts w:hint="default"/>
        <w:lang w:val="en-US" w:eastAsia="zh-cn" w:bidi="ar-SA"/>
      </w:rPr>
    </w:lvl>
    <w:lvl w:ilvl="7">
      <w:start w:val="0"/>
      <w:numFmt w:val="bullet"/>
      <w:lvlText w:val="•"/>
      <w:lvlJc w:val="left"/>
      <w:pPr>
        <w:ind w:left="8352" w:hanging="500"/>
      </w:pPr>
      <w:rPr>
        <w:rFonts w:hint="default"/>
        <w:lang w:val="en-US" w:eastAsia="zh-cn" w:bidi="ar-SA"/>
      </w:rPr>
    </w:lvl>
    <w:lvl w:ilvl="8">
      <w:start w:val="0"/>
      <w:numFmt w:val="bullet"/>
      <w:lvlText w:val="•"/>
      <w:lvlJc w:val="left"/>
      <w:pPr>
        <w:ind w:left="9217" w:hanging="500"/>
      </w:pPr>
      <w:rPr>
        <w:rFonts w:hint="default"/>
        <w:lang w:val="en-US" w:eastAsia="zh-cn" w:bidi="ar-SA"/>
      </w:rPr>
    </w:lvl>
  </w:abstractNum>
  <w:abstractNum w:abstractNumId="17">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16">
    <w:multiLevelType w:val="hybridMultilevel"/>
    <w:lvl w:ilvl="0">
      <w:start w:val="1"/>
      <w:numFmt w:val="decimal"/>
      <w:lvlText w:val="%1."/>
      <w:lvlJc w:val="left"/>
      <w:pPr>
        <w:ind w:left="2202"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3074" w:hanging="242"/>
      </w:pPr>
      <w:rPr>
        <w:rFonts w:hint="default"/>
        <w:lang w:val="en-US" w:eastAsia="zh-cn" w:bidi="ar-SA"/>
      </w:rPr>
    </w:lvl>
    <w:lvl w:ilvl="2">
      <w:start w:val="0"/>
      <w:numFmt w:val="bullet"/>
      <w:lvlText w:val="•"/>
      <w:lvlJc w:val="left"/>
      <w:pPr>
        <w:ind w:left="3949" w:hanging="242"/>
      </w:pPr>
      <w:rPr>
        <w:rFonts w:hint="default"/>
        <w:lang w:val="en-US" w:eastAsia="zh-cn" w:bidi="ar-SA"/>
      </w:rPr>
    </w:lvl>
    <w:lvl w:ilvl="3">
      <w:start w:val="0"/>
      <w:numFmt w:val="bullet"/>
      <w:lvlText w:val="•"/>
      <w:lvlJc w:val="left"/>
      <w:pPr>
        <w:ind w:left="4823" w:hanging="242"/>
      </w:pPr>
      <w:rPr>
        <w:rFonts w:hint="default"/>
        <w:lang w:val="en-US" w:eastAsia="zh-cn" w:bidi="ar-SA"/>
      </w:rPr>
    </w:lvl>
    <w:lvl w:ilvl="4">
      <w:start w:val="0"/>
      <w:numFmt w:val="bullet"/>
      <w:lvlText w:val="•"/>
      <w:lvlJc w:val="left"/>
      <w:pPr>
        <w:ind w:left="5698" w:hanging="242"/>
      </w:pPr>
      <w:rPr>
        <w:rFonts w:hint="default"/>
        <w:lang w:val="en-US" w:eastAsia="zh-cn" w:bidi="ar-SA"/>
      </w:rPr>
    </w:lvl>
    <w:lvl w:ilvl="5">
      <w:start w:val="0"/>
      <w:numFmt w:val="bullet"/>
      <w:lvlText w:val="•"/>
      <w:lvlJc w:val="left"/>
      <w:pPr>
        <w:ind w:left="6573" w:hanging="242"/>
      </w:pPr>
      <w:rPr>
        <w:rFonts w:hint="default"/>
        <w:lang w:val="en-US" w:eastAsia="zh-cn" w:bidi="ar-SA"/>
      </w:rPr>
    </w:lvl>
    <w:lvl w:ilvl="6">
      <w:start w:val="0"/>
      <w:numFmt w:val="bullet"/>
      <w:lvlText w:val="•"/>
      <w:lvlJc w:val="left"/>
      <w:pPr>
        <w:ind w:left="7447" w:hanging="242"/>
      </w:pPr>
      <w:rPr>
        <w:rFonts w:hint="default"/>
        <w:lang w:val="en-US" w:eastAsia="zh-cn" w:bidi="ar-SA"/>
      </w:rPr>
    </w:lvl>
    <w:lvl w:ilvl="7">
      <w:start w:val="0"/>
      <w:numFmt w:val="bullet"/>
      <w:lvlText w:val="•"/>
      <w:lvlJc w:val="left"/>
      <w:pPr>
        <w:ind w:left="8322" w:hanging="242"/>
      </w:pPr>
      <w:rPr>
        <w:rFonts w:hint="default"/>
        <w:lang w:val="en-US" w:eastAsia="zh-cn" w:bidi="ar-SA"/>
      </w:rPr>
    </w:lvl>
    <w:lvl w:ilvl="8">
      <w:start w:val="0"/>
      <w:numFmt w:val="bullet"/>
      <w:lvlText w:val="•"/>
      <w:lvlJc w:val="left"/>
      <w:pPr>
        <w:ind w:left="9197" w:hanging="242"/>
      </w:pPr>
      <w:rPr>
        <w:rFonts w:hint="default"/>
        <w:lang w:val="en-US" w:eastAsia="zh-cn" w:bidi="ar-SA"/>
      </w:rPr>
    </w:lvl>
  </w:abstractNum>
  <w:abstractNum w:abstractNumId="15">
    <w:multiLevelType w:val="hybridMultilevel"/>
    <w:lvl w:ilvl="0">
      <w:start w:val="1"/>
      <w:numFmt w:val="decimal"/>
      <w:lvlText w:val="%1."/>
      <w:lvlJc w:val="left"/>
      <w:pPr>
        <w:ind w:left="1320" w:hanging="243"/>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start w:val="0"/>
      <w:numFmt w:val="bullet"/>
      <w:lvlText w:val="•"/>
      <w:lvlJc w:val="left"/>
      <w:pPr>
        <w:ind w:left="2282" w:hanging="243"/>
      </w:pPr>
      <w:rPr>
        <w:rFonts w:hint="default"/>
        <w:lang w:val="en-US" w:eastAsia="zh-cn" w:bidi="ar-SA"/>
      </w:rPr>
    </w:lvl>
    <w:lvl w:ilvl="2">
      <w:start w:val="0"/>
      <w:numFmt w:val="bullet"/>
      <w:lvlText w:val="•"/>
      <w:lvlJc w:val="left"/>
      <w:pPr>
        <w:ind w:left="3245" w:hanging="243"/>
      </w:pPr>
      <w:rPr>
        <w:rFonts w:hint="default"/>
        <w:lang w:val="en-US" w:eastAsia="zh-cn" w:bidi="ar-SA"/>
      </w:rPr>
    </w:lvl>
    <w:lvl w:ilvl="3">
      <w:start w:val="0"/>
      <w:numFmt w:val="bullet"/>
      <w:lvlText w:val="•"/>
      <w:lvlJc w:val="left"/>
      <w:pPr>
        <w:ind w:left="4207" w:hanging="243"/>
      </w:pPr>
      <w:rPr>
        <w:rFonts w:hint="default"/>
        <w:lang w:val="en-US" w:eastAsia="zh-cn" w:bidi="ar-SA"/>
      </w:rPr>
    </w:lvl>
    <w:lvl w:ilvl="4">
      <w:start w:val="0"/>
      <w:numFmt w:val="bullet"/>
      <w:lvlText w:val="•"/>
      <w:lvlJc w:val="left"/>
      <w:pPr>
        <w:ind w:left="5170" w:hanging="243"/>
      </w:pPr>
      <w:rPr>
        <w:rFonts w:hint="default"/>
        <w:lang w:val="en-US" w:eastAsia="zh-cn" w:bidi="ar-SA"/>
      </w:rPr>
    </w:lvl>
    <w:lvl w:ilvl="5">
      <w:start w:val="0"/>
      <w:numFmt w:val="bullet"/>
      <w:lvlText w:val="•"/>
      <w:lvlJc w:val="left"/>
      <w:pPr>
        <w:ind w:left="6133" w:hanging="243"/>
      </w:pPr>
      <w:rPr>
        <w:rFonts w:hint="default"/>
        <w:lang w:val="en-US" w:eastAsia="zh-cn" w:bidi="ar-SA"/>
      </w:rPr>
    </w:lvl>
    <w:lvl w:ilvl="6">
      <w:start w:val="0"/>
      <w:numFmt w:val="bullet"/>
      <w:lvlText w:val="•"/>
      <w:lvlJc w:val="left"/>
      <w:pPr>
        <w:ind w:left="7095" w:hanging="243"/>
      </w:pPr>
      <w:rPr>
        <w:rFonts w:hint="default"/>
        <w:lang w:val="en-US" w:eastAsia="zh-cn" w:bidi="ar-SA"/>
      </w:rPr>
    </w:lvl>
    <w:lvl w:ilvl="7">
      <w:start w:val="0"/>
      <w:numFmt w:val="bullet"/>
      <w:lvlText w:val="•"/>
      <w:lvlJc w:val="left"/>
      <w:pPr>
        <w:ind w:left="8058" w:hanging="243"/>
      </w:pPr>
      <w:rPr>
        <w:rFonts w:hint="default"/>
        <w:lang w:val="en-US" w:eastAsia="zh-cn" w:bidi="ar-SA"/>
      </w:rPr>
    </w:lvl>
    <w:lvl w:ilvl="8">
      <w:start w:val="0"/>
      <w:numFmt w:val="bullet"/>
      <w:lvlText w:val="•"/>
      <w:lvlJc w:val="left"/>
      <w:pPr>
        <w:ind w:left="9021" w:hanging="243"/>
      </w:pPr>
      <w:rPr>
        <w:rFonts w:hint="default"/>
        <w:lang w:val="en-US" w:eastAsia="zh-cn" w:bidi="ar-SA"/>
      </w:rPr>
    </w:lvl>
  </w:abstractNum>
  <w:abstractNum w:abstractNumId="14">
    <w:multiLevelType w:val="hybridMultilevel"/>
    <w:lvl w:ilvl="0">
      <w:start w:val="1"/>
      <w:numFmt w:val="decimal"/>
      <w:lvlText w:val="[%1]"/>
      <w:lvlJc w:val="left"/>
      <w:pPr>
        <w:ind w:left="2179" w:hanging="420"/>
        <w:jc w:val="left"/>
      </w:pPr>
      <w:rPr>
        <w:rFonts w:hint="default" w:ascii="Times New Roman" w:hAnsi="Times New Roman" w:eastAsia="Times New Roman" w:cs="Times New Roman"/>
        <w:b w:val="0"/>
        <w:bCs w:val="0"/>
        <w:i w:val="0"/>
        <w:iCs w:val="0"/>
        <w:w w:val="100"/>
        <w:sz w:val="22"/>
        <w:szCs w:val="22"/>
        <w:lang w:val="en-US" w:eastAsia="zh-cn" w:bidi="ar-SA"/>
      </w:rPr>
    </w:lvl>
    <w:lvl w:ilvl="1">
      <w:start w:val="1"/>
      <w:numFmt w:val="decimal"/>
      <w:lvlText w:val="%2."/>
      <w:lvlJc w:val="left"/>
      <w:pPr>
        <w:ind w:left="2094" w:hanging="213"/>
        <w:jc w:val="right"/>
      </w:pPr>
      <w:rPr>
        <w:rFonts w:hint="default"/>
        <w:spacing w:val="-1"/>
        <w:w w:val="100"/>
        <w:lang w:val="en-US" w:eastAsia="zh-cn" w:bidi="ar-SA"/>
      </w:rPr>
    </w:lvl>
    <w:lvl w:ilvl="2">
      <w:start w:val="0"/>
      <w:numFmt w:val="bullet"/>
      <w:lvlText w:val="•"/>
      <w:lvlJc w:val="left"/>
      <w:pPr>
        <w:ind w:left="3154" w:hanging="213"/>
      </w:pPr>
      <w:rPr>
        <w:rFonts w:hint="default"/>
        <w:lang w:val="en-US" w:eastAsia="zh-cn" w:bidi="ar-SA"/>
      </w:rPr>
    </w:lvl>
    <w:lvl w:ilvl="3">
      <w:start w:val="0"/>
      <w:numFmt w:val="bullet"/>
      <w:lvlText w:val="•"/>
      <w:lvlJc w:val="left"/>
      <w:pPr>
        <w:ind w:left="4128" w:hanging="213"/>
      </w:pPr>
      <w:rPr>
        <w:rFonts w:hint="default"/>
        <w:lang w:val="en-US" w:eastAsia="zh-cn" w:bidi="ar-SA"/>
      </w:rPr>
    </w:lvl>
    <w:lvl w:ilvl="4">
      <w:start w:val="0"/>
      <w:numFmt w:val="bullet"/>
      <w:lvlText w:val="•"/>
      <w:lvlJc w:val="left"/>
      <w:pPr>
        <w:ind w:left="5102" w:hanging="213"/>
      </w:pPr>
      <w:rPr>
        <w:rFonts w:hint="default"/>
        <w:lang w:val="en-US" w:eastAsia="zh-cn" w:bidi="ar-SA"/>
      </w:rPr>
    </w:lvl>
    <w:lvl w:ilvl="5">
      <w:start w:val="0"/>
      <w:numFmt w:val="bullet"/>
      <w:lvlText w:val="•"/>
      <w:lvlJc w:val="left"/>
      <w:pPr>
        <w:ind w:left="6076" w:hanging="213"/>
      </w:pPr>
      <w:rPr>
        <w:rFonts w:hint="default"/>
        <w:lang w:val="en-US" w:eastAsia="zh-cn" w:bidi="ar-SA"/>
      </w:rPr>
    </w:lvl>
    <w:lvl w:ilvl="6">
      <w:start w:val="0"/>
      <w:numFmt w:val="bullet"/>
      <w:lvlText w:val="•"/>
      <w:lvlJc w:val="left"/>
      <w:pPr>
        <w:ind w:left="7050" w:hanging="213"/>
      </w:pPr>
      <w:rPr>
        <w:rFonts w:hint="default"/>
        <w:lang w:val="en-US" w:eastAsia="zh-cn" w:bidi="ar-SA"/>
      </w:rPr>
    </w:lvl>
    <w:lvl w:ilvl="7">
      <w:start w:val="0"/>
      <w:numFmt w:val="bullet"/>
      <w:lvlText w:val="•"/>
      <w:lvlJc w:val="left"/>
      <w:pPr>
        <w:ind w:left="8024" w:hanging="213"/>
      </w:pPr>
      <w:rPr>
        <w:rFonts w:hint="default"/>
        <w:lang w:val="en-US" w:eastAsia="zh-cn" w:bidi="ar-SA"/>
      </w:rPr>
    </w:lvl>
    <w:lvl w:ilvl="8">
      <w:start w:val="0"/>
      <w:numFmt w:val="bullet"/>
      <w:lvlText w:val="•"/>
      <w:lvlJc w:val="left"/>
      <w:pPr>
        <w:ind w:left="8998" w:hanging="213"/>
      </w:pPr>
      <w:rPr>
        <w:rFonts w:hint="default"/>
        <w:lang w:val="en-US" w:eastAsia="zh-cn" w:bidi="ar-SA"/>
      </w:rPr>
    </w:lvl>
  </w:abstractNum>
  <w:abstractNum w:abstractNumId="13">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3416" w:hanging="620"/>
      </w:pPr>
      <w:rPr>
        <w:rFonts w:hint="default"/>
        <w:lang w:val="en-US" w:eastAsia="zh-cn" w:bidi="ar-SA"/>
      </w:rPr>
    </w:lvl>
    <w:lvl w:ilvl="2">
      <w:start w:val="0"/>
      <w:numFmt w:val="bullet"/>
      <w:lvlText w:val="•"/>
      <w:lvlJc w:val="left"/>
      <w:pPr>
        <w:ind w:left="4253" w:hanging="620"/>
      </w:pPr>
      <w:rPr>
        <w:rFonts w:hint="default"/>
        <w:lang w:val="en-US" w:eastAsia="zh-cn" w:bidi="ar-SA"/>
      </w:rPr>
    </w:lvl>
    <w:lvl w:ilvl="3">
      <w:start w:val="0"/>
      <w:numFmt w:val="bullet"/>
      <w:lvlText w:val="•"/>
      <w:lvlJc w:val="left"/>
      <w:pPr>
        <w:ind w:left="5089" w:hanging="620"/>
      </w:pPr>
      <w:rPr>
        <w:rFonts w:hint="default"/>
        <w:lang w:val="en-US" w:eastAsia="zh-cn" w:bidi="ar-SA"/>
      </w:rPr>
    </w:lvl>
    <w:lvl w:ilvl="4">
      <w:start w:val="0"/>
      <w:numFmt w:val="bullet"/>
      <w:lvlText w:val="•"/>
      <w:lvlJc w:val="left"/>
      <w:pPr>
        <w:ind w:left="5926" w:hanging="620"/>
      </w:pPr>
      <w:rPr>
        <w:rFonts w:hint="default"/>
        <w:lang w:val="en-US" w:eastAsia="zh-cn" w:bidi="ar-SA"/>
      </w:rPr>
    </w:lvl>
    <w:lvl w:ilvl="5">
      <w:start w:val="0"/>
      <w:numFmt w:val="bullet"/>
      <w:lvlText w:val="•"/>
      <w:lvlJc w:val="left"/>
      <w:pPr>
        <w:ind w:left="6763" w:hanging="620"/>
      </w:pPr>
      <w:rPr>
        <w:rFonts w:hint="default"/>
        <w:lang w:val="en-US" w:eastAsia="zh-cn" w:bidi="ar-SA"/>
      </w:rPr>
    </w:lvl>
    <w:lvl w:ilvl="6">
      <w:start w:val="0"/>
      <w:numFmt w:val="bullet"/>
      <w:lvlText w:val="•"/>
      <w:lvlJc w:val="left"/>
      <w:pPr>
        <w:ind w:left="7599" w:hanging="620"/>
      </w:pPr>
      <w:rPr>
        <w:rFonts w:hint="default"/>
        <w:lang w:val="en-US" w:eastAsia="zh-cn" w:bidi="ar-SA"/>
      </w:rPr>
    </w:lvl>
    <w:lvl w:ilvl="7">
      <w:start w:val="0"/>
      <w:numFmt w:val="bullet"/>
      <w:lvlText w:val="•"/>
      <w:lvlJc w:val="left"/>
      <w:pPr>
        <w:ind w:left="8436" w:hanging="620"/>
      </w:pPr>
      <w:rPr>
        <w:rFonts w:hint="default"/>
        <w:lang w:val="en-US" w:eastAsia="zh-cn" w:bidi="ar-SA"/>
      </w:rPr>
    </w:lvl>
    <w:lvl w:ilvl="8">
      <w:start w:val="0"/>
      <w:numFmt w:val="bullet"/>
      <w:lvlText w:val="•"/>
      <w:lvlJc w:val="left"/>
      <w:pPr>
        <w:ind w:left="9273" w:hanging="620"/>
      </w:pPr>
      <w:rPr>
        <w:rFonts w:hint="default"/>
        <w:lang w:val="en-US" w:eastAsia="zh-cn" w:bidi="ar-SA"/>
      </w:rPr>
    </w:lvl>
  </w:abstractNum>
  <w:abstractNum w:abstractNumId="12">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2299" w:hanging="500"/>
      </w:pPr>
      <w:rPr>
        <w:rFonts w:hint="default" w:ascii="Wingdings" w:hAnsi="Wingdings" w:eastAsia="Wingdings" w:cs="Wingdings"/>
        <w:b w:val="0"/>
        <w:bCs w:val="0"/>
        <w:i w:val="0"/>
        <w:iCs w:val="0"/>
        <w:w w:val="100"/>
        <w:sz w:val="28"/>
        <w:szCs w:val="28"/>
        <w:lang w:val="en-US" w:eastAsia="zh-cn" w:bidi="ar-SA"/>
      </w:rPr>
    </w:lvl>
    <w:lvl w:ilvl="2">
      <w:start w:val="0"/>
      <w:numFmt w:val="bullet"/>
      <w:lvlText w:val="•"/>
      <w:lvlJc w:val="left"/>
      <w:pPr>
        <w:ind w:left="3509" w:hanging="500"/>
      </w:pPr>
      <w:rPr>
        <w:rFonts w:hint="default"/>
        <w:lang w:val="en-US" w:eastAsia="zh-cn" w:bidi="ar-SA"/>
      </w:rPr>
    </w:lvl>
    <w:lvl w:ilvl="3">
      <w:start w:val="0"/>
      <w:numFmt w:val="bullet"/>
      <w:lvlText w:val="•"/>
      <w:lvlJc w:val="left"/>
      <w:pPr>
        <w:ind w:left="4439" w:hanging="500"/>
      </w:pPr>
      <w:rPr>
        <w:rFonts w:hint="default"/>
        <w:lang w:val="en-US" w:eastAsia="zh-cn" w:bidi="ar-SA"/>
      </w:rPr>
    </w:lvl>
    <w:lvl w:ilvl="4">
      <w:start w:val="0"/>
      <w:numFmt w:val="bullet"/>
      <w:lvlText w:val="•"/>
      <w:lvlJc w:val="left"/>
      <w:pPr>
        <w:ind w:left="5368" w:hanging="500"/>
      </w:pPr>
      <w:rPr>
        <w:rFonts w:hint="default"/>
        <w:lang w:val="en-US" w:eastAsia="zh-cn" w:bidi="ar-SA"/>
      </w:rPr>
    </w:lvl>
    <w:lvl w:ilvl="5">
      <w:start w:val="0"/>
      <w:numFmt w:val="bullet"/>
      <w:lvlText w:val="•"/>
      <w:lvlJc w:val="left"/>
      <w:pPr>
        <w:ind w:left="6298" w:hanging="500"/>
      </w:pPr>
      <w:rPr>
        <w:rFonts w:hint="default"/>
        <w:lang w:val="en-US" w:eastAsia="zh-cn" w:bidi="ar-SA"/>
      </w:rPr>
    </w:lvl>
    <w:lvl w:ilvl="6">
      <w:start w:val="0"/>
      <w:numFmt w:val="bullet"/>
      <w:lvlText w:val="•"/>
      <w:lvlJc w:val="left"/>
      <w:pPr>
        <w:ind w:left="7228" w:hanging="500"/>
      </w:pPr>
      <w:rPr>
        <w:rFonts w:hint="default"/>
        <w:lang w:val="en-US" w:eastAsia="zh-cn" w:bidi="ar-SA"/>
      </w:rPr>
    </w:lvl>
    <w:lvl w:ilvl="7">
      <w:start w:val="0"/>
      <w:numFmt w:val="bullet"/>
      <w:lvlText w:val="•"/>
      <w:lvlJc w:val="left"/>
      <w:pPr>
        <w:ind w:left="8157" w:hanging="500"/>
      </w:pPr>
      <w:rPr>
        <w:rFonts w:hint="default"/>
        <w:lang w:val="en-US" w:eastAsia="zh-cn" w:bidi="ar-SA"/>
      </w:rPr>
    </w:lvl>
    <w:lvl w:ilvl="8">
      <w:start w:val="0"/>
      <w:numFmt w:val="bullet"/>
      <w:lvlText w:val="•"/>
      <w:lvlJc w:val="left"/>
      <w:pPr>
        <w:ind w:left="9087" w:hanging="500"/>
      </w:pPr>
      <w:rPr>
        <w:rFonts w:hint="default"/>
        <w:lang w:val="en-US" w:eastAsia="zh-cn" w:bidi="ar-SA"/>
      </w:rPr>
    </w:lvl>
  </w:abstractNum>
  <w:abstractNum w:abstractNumId="11">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3416" w:hanging="620"/>
      </w:pPr>
      <w:rPr>
        <w:rFonts w:hint="default"/>
        <w:lang w:val="en-US" w:eastAsia="zh-cn" w:bidi="ar-SA"/>
      </w:rPr>
    </w:lvl>
    <w:lvl w:ilvl="2">
      <w:start w:val="0"/>
      <w:numFmt w:val="bullet"/>
      <w:lvlText w:val="•"/>
      <w:lvlJc w:val="left"/>
      <w:pPr>
        <w:ind w:left="4253" w:hanging="620"/>
      </w:pPr>
      <w:rPr>
        <w:rFonts w:hint="default"/>
        <w:lang w:val="en-US" w:eastAsia="zh-cn" w:bidi="ar-SA"/>
      </w:rPr>
    </w:lvl>
    <w:lvl w:ilvl="3">
      <w:start w:val="0"/>
      <w:numFmt w:val="bullet"/>
      <w:lvlText w:val="•"/>
      <w:lvlJc w:val="left"/>
      <w:pPr>
        <w:ind w:left="5089" w:hanging="620"/>
      </w:pPr>
      <w:rPr>
        <w:rFonts w:hint="default"/>
        <w:lang w:val="en-US" w:eastAsia="zh-cn" w:bidi="ar-SA"/>
      </w:rPr>
    </w:lvl>
    <w:lvl w:ilvl="4">
      <w:start w:val="0"/>
      <w:numFmt w:val="bullet"/>
      <w:lvlText w:val="•"/>
      <w:lvlJc w:val="left"/>
      <w:pPr>
        <w:ind w:left="5926" w:hanging="620"/>
      </w:pPr>
      <w:rPr>
        <w:rFonts w:hint="default"/>
        <w:lang w:val="en-US" w:eastAsia="zh-cn" w:bidi="ar-SA"/>
      </w:rPr>
    </w:lvl>
    <w:lvl w:ilvl="5">
      <w:start w:val="0"/>
      <w:numFmt w:val="bullet"/>
      <w:lvlText w:val="•"/>
      <w:lvlJc w:val="left"/>
      <w:pPr>
        <w:ind w:left="6763" w:hanging="620"/>
      </w:pPr>
      <w:rPr>
        <w:rFonts w:hint="default"/>
        <w:lang w:val="en-US" w:eastAsia="zh-cn" w:bidi="ar-SA"/>
      </w:rPr>
    </w:lvl>
    <w:lvl w:ilvl="6">
      <w:start w:val="0"/>
      <w:numFmt w:val="bullet"/>
      <w:lvlText w:val="•"/>
      <w:lvlJc w:val="left"/>
      <w:pPr>
        <w:ind w:left="7599" w:hanging="620"/>
      </w:pPr>
      <w:rPr>
        <w:rFonts w:hint="default"/>
        <w:lang w:val="en-US" w:eastAsia="zh-cn" w:bidi="ar-SA"/>
      </w:rPr>
    </w:lvl>
    <w:lvl w:ilvl="7">
      <w:start w:val="0"/>
      <w:numFmt w:val="bullet"/>
      <w:lvlText w:val="•"/>
      <w:lvlJc w:val="left"/>
      <w:pPr>
        <w:ind w:left="8436" w:hanging="620"/>
      </w:pPr>
      <w:rPr>
        <w:rFonts w:hint="default"/>
        <w:lang w:val="en-US" w:eastAsia="zh-cn" w:bidi="ar-SA"/>
      </w:rPr>
    </w:lvl>
    <w:lvl w:ilvl="8">
      <w:start w:val="0"/>
      <w:numFmt w:val="bullet"/>
      <w:lvlText w:val="•"/>
      <w:lvlJc w:val="left"/>
      <w:pPr>
        <w:ind w:left="9273" w:hanging="620"/>
      </w:pPr>
      <w:rPr>
        <w:rFonts w:hint="default"/>
        <w:lang w:val="en-US" w:eastAsia="zh-cn" w:bidi="ar-SA"/>
      </w:rPr>
    </w:lvl>
  </w:abstractNum>
  <w:abstractNum w:abstractNumId="10">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3416" w:hanging="620"/>
      </w:pPr>
      <w:rPr>
        <w:rFonts w:hint="default"/>
        <w:lang w:val="en-US" w:eastAsia="zh-cn" w:bidi="ar-SA"/>
      </w:rPr>
    </w:lvl>
    <w:lvl w:ilvl="2">
      <w:start w:val="0"/>
      <w:numFmt w:val="bullet"/>
      <w:lvlText w:val="•"/>
      <w:lvlJc w:val="left"/>
      <w:pPr>
        <w:ind w:left="4253" w:hanging="620"/>
      </w:pPr>
      <w:rPr>
        <w:rFonts w:hint="default"/>
        <w:lang w:val="en-US" w:eastAsia="zh-cn" w:bidi="ar-SA"/>
      </w:rPr>
    </w:lvl>
    <w:lvl w:ilvl="3">
      <w:start w:val="0"/>
      <w:numFmt w:val="bullet"/>
      <w:lvlText w:val="•"/>
      <w:lvlJc w:val="left"/>
      <w:pPr>
        <w:ind w:left="5089" w:hanging="620"/>
      </w:pPr>
      <w:rPr>
        <w:rFonts w:hint="default"/>
        <w:lang w:val="en-US" w:eastAsia="zh-cn" w:bidi="ar-SA"/>
      </w:rPr>
    </w:lvl>
    <w:lvl w:ilvl="4">
      <w:start w:val="0"/>
      <w:numFmt w:val="bullet"/>
      <w:lvlText w:val="•"/>
      <w:lvlJc w:val="left"/>
      <w:pPr>
        <w:ind w:left="5926" w:hanging="620"/>
      </w:pPr>
      <w:rPr>
        <w:rFonts w:hint="default"/>
        <w:lang w:val="en-US" w:eastAsia="zh-cn" w:bidi="ar-SA"/>
      </w:rPr>
    </w:lvl>
    <w:lvl w:ilvl="5">
      <w:start w:val="0"/>
      <w:numFmt w:val="bullet"/>
      <w:lvlText w:val="•"/>
      <w:lvlJc w:val="left"/>
      <w:pPr>
        <w:ind w:left="6763" w:hanging="620"/>
      </w:pPr>
      <w:rPr>
        <w:rFonts w:hint="default"/>
        <w:lang w:val="en-US" w:eastAsia="zh-cn" w:bidi="ar-SA"/>
      </w:rPr>
    </w:lvl>
    <w:lvl w:ilvl="6">
      <w:start w:val="0"/>
      <w:numFmt w:val="bullet"/>
      <w:lvlText w:val="•"/>
      <w:lvlJc w:val="left"/>
      <w:pPr>
        <w:ind w:left="7599" w:hanging="620"/>
      </w:pPr>
      <w:rPr>
        <w:rFonts w:hint="default"/>
        <w:lang w:val="en-US" w:eastAsia="zh-cn" w:bidi="ar-SA"/>
      </w:rPr>
    </w:lvl>
    <w:lvl w:ilvl="7">
      <w:start w:val="0"/>
      <w:numFmt w:val="bullet"/>
      <w:lvlText w:val="•"/>
      <w:lvlJc w:val="left"/>
      <w:pPr>
        <w:ind w:left="8436" w:hanging="620"/>
      </w:pPr>
      <w:rPr>
        <w:rFonts w:hint="default"/>
        <w:lang w:val="en-US" w:eastAsia="zh-cn" w:bidi="ar-SA"/>
      </w:rPr>
    </w:lvl>
    <w:lvl w:ilvl="8">
      <w:start w:val="0"/>
      <w:numFmt w:val="bullet"/>
      <w:lvlText w:val="•"/>
      <w:lvlJc w:val="left"/>
      <w:pPr>
        <w:ind w:left="9273" w:hanging="620"/>
      </w:pPr>
      <w:rPr>
        <w:rFonts w:hint="default"/>
        <w:lang w:val="en-US" w:eastAsia="zh-cn" w:bidi="ar-SA"/>
      </w:rPr>
    </w:lvl>
  </w:abstractNum>
  <w:abstractNum w:abstractNumId="9">
    <w:multiLevelType w:val="hybridMultilevel"/>
    <w:lvl w:ilvl="0">
      <w:start w:val="0"/>
      <w:numFmt w:val="bullet"/>
      <w:lvlText w:val=""/>
      <w:lvlJc w:val="left"/>
      <w:pPr>
        <w:ind w:left="3000" w:hanging="500"/>
      </w:pPr>
      <w:rPr>
        <w:rFonts w:hint="default" w:ascii="Wingdings" w:hAnsi="Wingdings" w:eastAsia="Wingdings" w:cs="Wingdings"/>
        <w:b w:val="0"/>
        <w:bCs w:val="0"/>
        <w:i w:val="0"/>
        <w:iCs w:val="0"/>
        <w:w w:val="100"/>
        <w:sz w:val="28"/>
        <w:szCs w:val="28"/>
        <w:lang w:val="en-US" w:eastAsia="zh-cn" w:bidi="ar-SA"/>
      </w:rPr>
    </w:lvl>
    <w:lvl w:ilvl="1">
      <w:start w:val="0"/>
      <w:numFmt w:val="bullet"/>
      <w:lvlText w:val="•"/>
      <w:lvlJc w:val="left"/>
      <w:pPr>
        <w:ind w:left="3794" w:hanging="500"/>
      </w:pPr>
      <w:rPr>
        <w:rFonts w:hint="default"/>
        <w:lang w:val="en-US" w:eastAsia="zh-cn" w:bidi="ar-SA"/>
      </w:rPr>
    </w:lvl>
    <w:lvl w:ilvl="2">
      <w:start w:val="0"/>
      <w:numFmt w:val="bullet"/>
      <w:lvlText w:val="•"/>
      <w:lvlJc w:val="left"/>
      <w:pPr>
        <w:ind w:left="4589" w:hanging="500"/>
      </w:pPr>
      <w:rPr>
        <w:rFonts w:hint="default"/>
        <w:lang w:val="en-US" w:eastAsia="zh-cn" w:bidi="ar-SA"/>
      </w:rPr>
    </w:lvl>
    <w:lvl w:ilvl="3">
      <w:start w:val="0"/>
      <w:numFmt w:val="bullet"/>
      <w:lvlText w:val="•"/>
      <w:lvlJc w:val="left"/>
      <w:pPr>
        <w:ind w:left="5383" w:hanging="500"/>
      </w:pPr>
      <w:rPr>
        <w:rFonts w:hint="default"/>
        <w:lang w:val="en-US" w:eastAsia="zh-cn" w:bidi="ar-SA"/>
      </w:rPr>
    </w:lvl>
    <w:lvl w:ilvl="4">
      <w:start w:val="0"/>
      <w:numFmt w:val="bullet"/>
      <w:lvlText w:val="•"/>
      <w:lvlJc w:val="left"/>
      <w:pPr>
        <w:ind w:left="6178" w:hanging="500"/>
      </w:pPr>
      <w:rPr>
        <w:rFonts w:hint="default"/>
        <w:lang w:val="en-US" w:eastAsia="zh-cn" w:bidi="ar-SA"/>
      </w:rPr>
    </w:lvl>
    <w:lvl w:ilvl="5">
      <w:start w:val="0"/>
      <w:numFmt w:val="bullet"/>
      <w:lvlText w:val="•"/>
      <w:lvlJc w:val="left"/>
      <w:pPr>
        <w:ind w:left="6973" w:hanging="500"/>
      </w:pPr>
      <w:rPr>
        <w:rFonts w:hint="default"/>
        <w:lang w:val="en-US" w:eastAsia="zh-cn" w:bidi="ar-SA"/>
      </w:rPr>
    </w:lvl>
    <w:lvl w:ilvl="6">
      <w:start w:val="0"/>
      <w:numFmt w:val="bullet"/>
      <w:lvlText w:val="•"/>
      <w:lvlJc w:val="left"/>
      <w:pPr>
        <w:ind w:left="7767" w:hanging="500"/>
      </w:pPr>
      <w:rPr>
        <w:rFonts w:hint="default"/>
        <w:lang w:val="en-US" w:eastAsia="zh-cn" w:bidi="ar-SA"/>
      </w:rPr>
    </w:lvl>
    <w:lvl w:ilvl="7">
      <w:start w:val="0"/>
      <w:numFmt w:val="bullet"/>
      <w:lvlText w:val="•"/>
      <w:lvlJc w:val="left"/>
      <w:pPr>
        <w:ind w:left="8562" w:hanging="500"/>
      </w:pPr>
      <w:rPr>
        <w:rFonts w:hint="default"/>
        <w:lang w:val="en-US" w:eastAsia="zh-cn" w:bidi="ar-SA"/>
      </w:rPr>
    </w:lvl>
    <w:lvl w:ilvl="8">
      <w:start w:val="0"/>
      <w:numFmt w:val="bullet"/>
      <w:lvlText w:val="•"/>
      <w:lvlJc w:val="left"/>
      <w:pPr>
        <w:ind w:left="9357" w:hanging="500"/>
      </w:pPr>
      <w:rPr>
        <w:rFonts w:hint="default"/>
        <w:lang w:val="en-US" w:eastAsia="zh-cn" w:bidi="ar-SA"/>
      </w:rPr>
    </w:lvl>
  </w:abstractNum>
  <w:abstractNum w:abstractNumId="8">
    <w:multiLevelType w:val="hybridMultilevel"/>
    <w:lvl w:ilvl="0">
      <w:start w:val="1"/>
      <w:numFmt w:val="decimal"/>
      <w:lvlText w:val="%1."/>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start w:val="0"/>
      <w:numFmt w:val="bullet"/>
      <w:lvlText w:val=""/>
      <w:lvlJc w:val="left"/>
      <w:pPr>
        <w:ind w:left="2299" w:hanging="500"/>
      </w:pPr>
      <w:rPr>
        <w:rFonts w:hint="default" w:ascii="Wingdings" w:hAnsi="Wingdings" w:eastAsia="Wingdings" w:cs="Wingdings"/>
        <w:b w:val="0"/>
        <w:bCs w:val="0"/>
        <w:i w:val="0"/>
        <w:iCs w:val="0"/>
        <w:w w:val="100"/>
        <w:sz w:val="28"/>
        <w:szCs w:val="28"/>
        <w:lang w:val="en-US" w:eastAsia="zh-cn" w:bidi="ar-SA"/>
      </w:rPr>
    </w:lvl>
    <w:lvl w:ilvl="2">
      <w:start w:val="0"/>
      <w:numFmt w:val="bullet"/>
      <w:lvlText w:val="•"/>
      <w:lvlJc w:val="left"/>
      <w:pPr>
        <w:ind w:left="3000" w:hanging="500"/>
      </w:pPr>
      <w:rPr>
        <w:rFonts w:hint="default"/>
        <w:lang w:val="en-US" w:eastAsia="zh-cn" w:bidi="ar-SA"/>
      </w:rPr>
    </w:lvl>
    <w:lvl w:ilvl="3">
      <w:start w:val="0"/>
      <w:numFmt w:val="bullet"/>
      <w:lvlText w:val="•"/>
      <w:lvlJc w:val="left"/>
      <w:pPr>
        <w:ind w:left="3993" w:hanging="500"/>
      </w:pPr>
      <w:rPr>
        <w:rFonts w:hint="default"/>
        <w:lang w:val="en-US" w:eastAsia="zh-cn" w:bidi="ar-SA"/>
      </w:rPr>
    </w:lvl>
    <w:lvl w:ilvl="4">
      <w:start w:val="0"/>
      <w:numFmt w:val="bullet"/>
      <w:lvlText w:val="•"/>
      <w:lvlJc w:val="left"/>
      <w:pPr>
        <w:ind w:left="4986" w:hanging="500"/>
      </w:pPr>
      <w:rPr>
        <w:rFonts w:hint="default"/>
        <w:lang w:val="en-US" w:eastAsia="zh-cn" w:bidi="ar-SA"/>
      </w:rPr>
    </w:lvl>
    <w:lvl w:ilvl="5">
      <w:start w:val="0"/>
      <w:numFmt w:val="bullet"/>
      <w:lvlText w:val="•"/>
      <w:lvlJc w:val="left"/>
      <w:pPr>
        <w:ind w:left="5979" w:hanging="500"/>
      </w:pPr>
      <w:rPr>
        <w:rFonts w:hint="default"/>
        <w:lang w:val="en-US" w:eastAsia="zh-cn" w:bidi="ar-SA"/>
      </w:rPr>
    </w:lvl>
    <w:lvl w:ilvl="6">
      <w:start w:val="0"/>
      <w:numFmt w:val="bullet"/>
      <w:lvlText w:val="•"/>
      <w:lvlJc w:val="left"/>
      <w:pPr>
        <w:ind w:left="6973" w:hanging="500"/>
      </w:pPr>
      <w:rPr>
        <w:rFonts w:hint="default"/>
        <w:lang w:val="en-US" w:eastAsia="zh-cn" w:bidi="ar-SA"/>
      </w:rPr>
    </w:lvl>
    <w:lvl w:ilvl="7">
      <w:start w:val="0"/>
      <w:numFmt w:val="bullet"/>
      <w:lvlText w:val="•"/>
      <w:lvlJc w:val="left"/>
      <w:pPr>
        <w:ind w:left="7966" w:hanging="500"/>
      </w:pPr>
      <w:rPr>
        <w:rFonts w:hint="default"/>
        <w:lang w:val="en-US" w:eastAsia="zh-cn" w:bidi="ar-SA"/>
      </w:rPr>
    </w:lvl>
    <w:lvl w:ilvl="8">
      <w:start w:val="0"/>
      <w:numFmt w:val="bullet"/>
      <w:lvlText w:val="•"/>
      <w:lvlJc w:val="left"/>
      <w:pPr>
        <w:ind w:left="8959" w:hanging="500"/>
      </w:pPr>
      <w:rPr>
        <w:rFonts w:hint="default"/>
        <w:lang w:val="en-US" w:eastAsia="zh-cn" w:bidi="ar-SA"/>
      </w:rPr>
    </w:lvl>
  </w:abstractNum>
  <w:abstractNum w:abstractNumId="6">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1"/>
      <w:numFmt w:val="decimal"/>
      <w:lvlText w:val="%2."/>
      <w:lvlJc w:val="left"/>
      <w:pPr>
        <w:ind w:left="2580" w:hanging="620"/>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2">
      <w:start w:val="0"/>
      <w:numFmt w:val="bullet"/>
      <w:lvlText w:val="•"/>
      <w:lvlJc w:val="left"/>
      <w:pPr>
        <w:ind w:left="3509" w:hanging="620"/>
      </w:pPr>
      <w:rPr>
        <w:rFonts w:hint="default"/>
        <w:lang w:val="en-US" w:eastAsia="zh-cn" w:bidi="ar-SA"/>
      </w:rPr>
    </w:lvl>
    <w:lvl w:ilvl="3">
      <w:start w:val="0"/>
      <w:numFmt w:val="bullet"/>
      <w:lvlText w:val="•"/>
      <w:lvlJc w:val="left"/>
      <w:pPr>
        <w:ind w:left="4439" w:hanging="620"/>
      </w:pPr>
      <w:rPr>
        <w:rFonts w:hint="default"/>
        <w:lang w:val="en-US" w:eastAsia="zh-cn" w:bidi="ar-SA"/>
      </w:rPr>
    </w:lvl>
    <w:lvl w:ilvl="4">
      <w:start w:val="0"/>
      <w:numFmt w:val="bullet"/>
      <w:lvlText w:val="•"/>
      <w:lvlJc w:val="left"/>
      <w:pPr>
        <w:ind w:left="5368" w:hanging="620"/>
      </w:pPr>
      <w:rPr>
        <w:rFonts w:hint="default"/>
        <w:lang w:val="en-US" w:eastAsia="zh-cn" w:bidi="ar-SA"/>
      </w:rPr>
    </w:lvl>
    <w:lvl w:ilvl="5">
      <w:start w:val="0"/>
      <w:numFmt w:val="bullet"/>
      <w:lvlText w:val="•"/>
      <w:lvlJc w:val="left"/>
      <w:pPr>
        <w:ind w:left="6298" w:hanging="620"/>
      </w:pPr>
      <w:rPr>
        <w:rFonts w:hint="default"/>
        <w:lang w:val="en-US" w:eastAsia="zh-cn" w:bidi="ar-SA"/>
      </w:rPr>
    </w:lvl>
    <w:lvl w:ilvl="6">
      <w:start w:val="0"/>
      <w:numFmt w:val="bullet"/>
      <w:lvlText w:val="•"/>
      <w:lvlJc w:val="left"/>
      <w:pPr>
        <w:ind w:left="7228" w:hanging="620"/>
      </w:pPr>
      <w:rPr>
        <w:rFonts w:hint="default"/>
        <w:lang w:val="en-US" w:eastAsia="zh-cn" w:bidi="ar-SA"/>
      </w:rPr>
    </w:lvl>
    <w:lvl w:ilvl="7">
      <w:start w:val="0"/>
      <w:numFmt w:val="bullet"/>
      <w:lvlText w:val="•"/>
      <w:lvlJc w:val="left"/>
      <w:pPr>
        <w:ind w:left="8157" w:hanging="620"/>
      </w:pPr>
      <w:rPr>
        <w:rFonts w:hint="default"/>
        <w:lang w:val="en-US" w:eastAsia="zh-cn" w:bidi="ar-SA"/>
      </w:rPr>
    </w:lvl>
    <w:lvl w:ilvl="8">
      <w:start w:val="0"/>
      <w:numFmt w:val="bullet"/>
      <w:lvlText w:val="•"/>
      <w:lvlJc w:val="left"/>
      <w:pPr>
        <w:ind w:left="9087" w:hanging="620"/>
      </w:pPr>
      <w:rPr>
        <w:rFonts w:hint="default"/>
        <w:lang w:val="en-US" w:eastAsia="zh-cn" w:bidi="ar-SA"/>
      </w:rPr>
    </w:lvl>
  </w:abstractNum>
  <w:abstractNum w:abstractNumId="5">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abstractNum w:abstractNumId="4">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abstractNum w:abstractNumId="3">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abstractNum w:abstractNumId="2">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abstractNum w:abstractNumId="1">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abstractNum w:abstractNumId="0">
    <w:multiLevelType w:val="hybridMultilevel"/>
    <w:lvl w:ilvl="0">
      <w:start w:val="1"/>
      <w:numFmt w:val="decimal"/>
      <w:lvlText w:val="%1."/>
      <w:lvlJc w:val="left"/>
      <w:pPr>
        <w:ind w:left="1740" w:hanging="420"/>
        <w:jc w:val="left"/>
      </w:pPr>
      <w:rPr>
        <w:rFonts w:hint="default" w:ascii="Times New Roman" w:hAnsi="Times New Roman" w:eastAsia="Times New Roman" w:cs="Times New Roman"/>
        <w:b w:val="0"/>
        <w:bCs w:val="0"/>
        <w:i w:val="0"/>
        <w:iCs w:val="0"/>
        <w:w w:val="100"/>
        <w:sz w:val="21"/>
        <w:szCs w:val="21"/>
        <w:lang w:val="en-US" w:eastAsia="zh-cn" w:bidi="ar-SA"/>
      </w:rPr>
    </w:lvl>
    <w:lvl w:ilvl="1">
      <w:start w:val="0"/>
      <w:numFmt w:val="bullet"/>
      <w:lvlText w:val="•"/>
      <w:lvlJc w:val="left"/>
      <w:pPr>
        <w:ind w:left="2660" w:hanging="420"/>
      </w:pPr>
      <w:rPr>
        <w:rFonts w:hint="default"/>
        <w:lang w:val="en-US" w:eastAsia="zh-cn" w:bidi="ar-SA"/>
      </w:rPr>
    </w:lvl>
    <w:lvl w:ilvl="2">
      <w:start w:val="0"/>
      <w:numFmt w:val="bullet"/>
      <w:lvlText w:val="•"/>
      <w:lvlJc w:val="left"/>
      <w:pPr>
        <w:ind w:left="3581" w:hanging="420"/>
      </w:pPr>
      <w:rPr>
        <w:rFonts w:hint="default"/>
        <w:lang w:val="en-US" w:eastAsia="zh-cn" w:bidi="ar-SA"/>
      </w:rPr>
    </w:lvl>
    <w:lvl w:ilvl="3">
      <w:start w:val="0"/>
      <w:numFmt w:val="bullet"/>
      <w:lvlText w:val="•"/>
      <w:lvlJc w:val="left"/>
      <w:pPr>
        <w:ind w:left="4501" w:hanging="420"/>
      </w:pPr>
      <w:rPr>
        <w:rFonts w:hint="default"/>
        <w:lang w:val="en-US" w:eastAsia="zh-cn" w:bidi="ar-SA"/>
      </w:rPr>
    </w:lvl>
    <w:lvl w:ilvl="4">
      <w:start w:val="0"/>
      <w:numFmt w:val="bullet"/>
      <w:lvlText w:val="•"/>
      <w:lvlJc w:val="left"/>
      <w:pPr>
        <w:ind w:left="5422" w:hanging="420"/>
      </w:pPr>
      <w:rPr>
        <w:rFonts w:hint="default"/>
        <w:lang w:val="en-US" w:eastAsia="zh-cn" w:bidi="ar-SA"/>
      </w:rPr>
    </w:lvl>
    <w:lvl w:ilvl="5">
      <w:start w:val="0"/>
      <w:numFmt w:val="bullet"/>
      <w:lvlText w:val="•"/>
      <w:lvlJc w:val="left"/>
      <w:pPr>
        <w:ind w:left="6343" w:hanging="420"/>
      </w:pPr>
      <w:rPr>
        <w:rFonts w:hint="default"/>
        <w:lang w:val="en-US" w:eastAsia="zh-cn" w:bidi="ar-SA"/>
      </w:rPr>
    </w:lvl>
    <w:lvl w:ilvl="6">
      <w:start w:val="0"/>
      <w:numFmt w:val="bullet"/>
      <w:lvlText w:val="•"/>
      <w:lvlJc w:val="left"/>
      <w:pPr>
        <w:ind w:left="7263" w:hanging="420"/>
      </w:pPr>
      <w:rPr>
        <w:rFonts w:hint="default"/>
        <w:lang w:val="en-US" w:eastAsia="zh-cn" w:bidi="ar-SA"/>
      </w:rPr>
    </w:lvl>
    <w:lvl w:ilvl="7">
      <w:start w:val="0"/>
      <w:numFmt w:val="bullet"/>
      <w:lvlText w:val="•"/>
      <w:lvlJc w:val="left"/>
      <w:pPr>
        <w:ind w:left="8184" w:hanging="420"/>
      </w:pPr>
      <w:rPr>
        <w:rFonts w:hint="default"/>
        <w:lang w:val="en-US" w:eastAsia="zh-cn" w:bidi="ar-SA"/>
      </w:rPr>
    </w:lvl>
    <w:lvl w:ilvl="8">
      <w:start w:val="0"/>
      <w:numFmt w:val="bullet"/>
      <w:lvlText w:val="•"/>
      <w:lvlJc w:val="left"/>
      <w:pPr>
        <w:ind w:left="9105" w:hanging="420"/>
      </w:pPr>
      <w:rPr>
        <w:rFonts w:hint="default"/>
        <w:lang w:val="en-US" w:eastAsia="zh-cn" w:bidi="ar-SA"/>
      </w:rPr>
    </w:lvl>
  </w:abstractNum>
  <w:num w:numId="33">
    <w:abstractNumId w:val="32"/>
  </w:num>
  <w:num w:numId="25">
    <w:abstractNumId w:val="24"/>
  </w:num>
  <w:num w:numId="8">
    <w:abstractNumId w:val="7"/>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en-US" w:eastAsia="zh-cn" w:bidi="ar-SA"/>
    </w:rPr>
  </w:style>
  <w:style w:styleId="TOC1" w:type="paragraph">
    <w:name w:val="TOC 1"/>
    <w:basedOn w:val="Normal"/>
    <w:uiPriority w:val="1"/>
    <w:qFormat/>
    <w:pPr>
      <w:spacing w:before="42"/>
      <w:ind w:right="4"/>
      <w:jc w:val="center"/>
    </w:pPr>
    <w:rPr>
      <w:rFonts w:ascii="Calibri" w:hAnsi="Calibri" w:eastAsia="Calibri" w:cs="Calibri"/>
      <w:sz w:val="21"/>
      <w:szCs w:val="21"/>
      <w:lang w:val="en-US" w:eastAsia="zh-cn" w:bidi="ar-SA"/>
    </w:rPr>
  </w:style>
  <w:style w:styleId="TOC2" w:type="paragraph">
    <w:name w:val="TOC 2"/>
    <w:basedOn w:val="Normal"/>
    <w:uiPriority w:val="1"/>
    <w:qFormat/>
    <w:pPr>
      <w:spacing w:before="268" w:after="20"/>
      <w:jc w:val="center"/>
    </w:pPr>
    <w:rPr>
      <w:rFonts w:ascii="Times New Roman" w:hAnsi="Times New Roman" w:eastAsia="Times New Roman" w:cs="Times New Roman"/>
      <w:sz w:val="18"/>
      <w:szCs w:val="18"/>
      <w:lang w:val="en-US" w:eastAsia="zh-cn" w:bidi="ar-SA"/>
    </w:rPr>
  </w:style>
  <w:style w:styleId="TOC3" w:type="paragraph">
    <w:name w:val="TOC 3"/>
    <w:basedOn w:val="Normal"/>
    <w:uiPriority w:val="1"/>
    <w:qFormat/>
    <w:pPr>
      <w:spacing w:before="43"/>
      <w:ind w:left="1740" w:hanging="421"/>
    </w:pPr>
    <w:rPr>
      <w:rFonts w:ascii="楷体" w:hAnsi="楷体" w:eastAsia="楷体" w:cs="楷体"/>
      <w:sz w:val="21"/>
      <w:szCs w:val="21"/>
      <w:lang w:val="en-US" w:eastAsia="zh-cn" w:bidi="ar-SA"/>
    </w:rPr>
  </w:style>
  <w:style w:styleId="BodyText" w:type="paragraph">
    <w:name w:val="Body Text"/>
    <w:basedOn w:val="Normal"/>
    <w:uiPriority w:val="1"/>
    <w:qFormat/>
    <w:pPr/>
    <w:rPr>
      <w:rFonts w:ascii="仿宋" w:hAnsi="仿宋" w:eastAsia="仿宋" w:cs="仿宋"/>
      <w:sz w:val="28"/>
      <w:szCs w:val="28"/>
      <w:lang w:val="en-US" w:eastAsia="zh-cn" w:bidi="ar-SA"/>
    </w:rPr>
  </w:style>
  <w:style w:styleId="Heading1" w:type="paragraph">
    <w:name w:val="Heading 1"/>
    <w:basedOn w:val="Normal"/>
    <w:uiPriority w:val="1"/>
    <w:qFormat/>
    <w:pPr>
      <w:spacing w:before="49"/>
      <w:ind w:left="1324" w:right="1367"/>
      <w:jc w:val="center"/>
      <w:outlineLvl w:val="1"/>
    </w:pPr>
    <w:rPr>
      <w:rFonts w:ascii="楷体" w:hAnsi="楷体" w:eastAsia="楷体" w:cs="楷体"/>
      <w:b/>
      <w:bCs/>
      <w:sz w:val="36"/>
      <w:szCs w:val="36"/>
      <w:lang w:val="en-US" w:eastAsia="zh-cn" w:bidi="ar-SA"/>
    </w:rPr>
  </w:style>
  <w:style w:styleId="Heading2" w:type="paragraph">
    <w:name w:val="Heading 2"/>
    <w:basedOn w:val="Normal"/>
    <w:uiPriority w:val="1"/>
    <w:qFormat/>
    <w:pPr>
      <w:spacing w:before="197"/>
      <w:ind w:left="1963"/>
      <w:outlineLvl w:val="2"/>
    </w:pPr>
    <w:rPr>
      <w:rFonts w:ascii="楷体" w:hAnsi="楷体" w:eastAsia="楷体" w:cs="楷体"/>
      <w:b/>
      <w:bCs/>
      <w:sz w:val="32"/>
      <w:szCs w:val="32"/>
      <w:lang w:val="en-US" w:eastAsia="zh-cn" w:bidi="ar-SA"/>
    </w:rPr>
  </w:style>
  <w:style w:styleId="Heading3" w:type="paragraph">
    <w:name w:val="Heading 3"/>
    <w:basedOn w:val="Normal"/>
    <w:uiPriority w:val="1"/>
    <w:qFormat/>
    <w:pPr>
      <w:ind w:left="2202" w:hanging="242"/>
      <w:outlineLvl w:val="3"/>
    </w:pPr>
    <w:rPr>
      <w:rFonts w:ascii="楷体" w:hAnsi="楷体" w:eastAsia="楷体" w:cs="楷体"/>
      <w:sz w:val="32"/>
      <w:szCs w:val="32"/>
      <w:lang w:val="en-US" w:eastAsia="zh-cn" w:bidi="ar-SA"/>
    </w:rPr>
  </w:style>
  <w:style w:styleId="ListParagraph" w:type="paragraph">
    <w:name w:val="List Paragraph"/>
    <w:basedOn w:val="Normal"/>
    <w:uiPriority w:val="1"/>
    <w:qFormat/>
    <w:pPr>
      <w:ind w:left="3000" w:hanging="500"/>
    </w:pPr>
    <w:rPr>
      <w:rFonts w:ascii="仿宋" w:hAnsi="仿宋" w:eastAsia="仿宋" w:cs="仿宋"/>
      <w:lang w:val="en-US" w:eastAsia="zh-cn" w:bidi="ar-SA"/>
    </w:rPr>
  </w:style>
  <w:style w:styleId="TableParagraph" w:type="paragraph">
    <w:name w:val="Table Paragraph"/>
    <w:basedOn w:val="Normal"/>
    <w:uiPriority w:val="1"/>
    <w:qFormat/>
    <w:pPr/>
    <w:rPr>
      <w:rFonts w:ascii="仿宋" w:hAnsi="仿宋" w:eastAsia="仿宋" w:cs="仿宋"/>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liuchengcheng@caict.ac.cn"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yperlink" Target="http://www.breachlevelindex.com/" TargetMode="External"/><Relationship Id="rId15" Type="http://schemas.openxmlformats.org/officeDocument/2006/relationships/header" Target="header7.xml"/><Relationship Id="rId16" Type="http://schemas.openxmlformats.org/officeDocument/2006/relationships/hyperlink" Target="https://blogs.gartner.com/nick-heudecker/hyping-dataops/" TargetMode="Externa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image" Target="media/image3.png"/><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image" Target="media/image4.png"/><Relationship Id="rId24" Type="http://schemas.openxmlformats.org/officeDocument/2006/relationships/header" Target="header13.xml"/><Relationship Id="rId25" Type="http://schemas.openxmlformats.org/officeDocument/2006/relationships/header" Target="header14.xml"/><Relationship Id="rId26" Type="http://schemas.openxmlformats.org/officeDocument/2006/relationships/header" Target="header15.xml"/><Relationship Id="rId27" Type="http://schemas.openxmlformats.org/officeDocument/2006/relationships/header" Target="header16.xml"/><Relationship Id="rId28" Type="http://schemas.openxmlformats.org/officeDocument/2006/relationships/header" Target="header17.xml"/><Relationship Id="rId29" Type="http://schemas.openxmlformats.org/officeDocument/2006/relationships/header" Target="header18.xml"/><Relationship Id="rId30" Type="http://schemas.openxmlformats.org/officeDocument/2006/relationships/header" Target="header19.xml"/><Relationship Id="rId31" Type="http://schemas.openxmlformats.org/officeDocument/2006/relationships/header" Target="header20.xml"/><Relationship Id="rId32" Type="http://schemas.openxmlformats.org/officeDocument/2006/relationships/header" Target="header21.xml"/><Relationship Id="rId33" Type="http://schemas.openxmlformats.org/officeDocument/2006/relationships/header" Target="header22.xml"/><Relationship Id="rId34" Type="http://schemas.openxmlformats.org/officeDocument/2006/relationships/image" Target="media/image5.png"/><Relationship Id="rId35" Type="http://schemas.openxmlformats.org/officeDocument/2006/relationships/header" Target="header23.xml"/><Relationship Id="rId36" Type="http://schemas.openxmlformats.org/officeDocument/2006/relationships/header" Target="header24.xml"/><Relationship Id="rId37" Type="http://schemas.openxmlformats.org/officeDocument/2006/relationships/image" Target="media/image6.jpeg"/><Relationship Id="rId38" Type="http://schemas.openxmlformats.org/officeDocument/2006/relationships/header" Target="header25.xml"/><Relationship Id="rId39" Type="http://schemas.openxmlformats.org/officeDocument/2006/relationships/header" Target="header26.xml"/><Relationship Id="rId40" Type="http://schemas.openxmlformats.org/officeDocument/2006/relationships/image" Target="media/image7.jpeg"/><Relationship Id="rId41" Type="http://schemas.openxmlformats.org/officeDocument/2006/relationships/header" Target="header27.xml"/><Relationship Id="rId42" Type="http://schemas.openxmlformats.org/officeDocument/2006/relationships/image" Target="media/image8.png"/><Relationship Id="rId43" Type="http://schemas.openxmlformats.org/officeDocument/2006/relationships/header" Target="header28.xml"/><Relationship Id="rId44" Type="http://schemas.openxmlformats.org/officeDocument/2006/relationships/header" Target="header29.xml"/><Relationship Id="rId45" Type="http://schemas.openxmlformats.org/officeDocument/2006/relationships/image" Target="media/image9.png"/><Relationship Id="rId46" Type="http://schemas.openxmlformats.org/officeDocument/2006/relationships/header" Target="header30.xml"/><Relationship Id="rId47" Type="http://schemas.openxmlformats.org/officeDocument/2006/relationships/header" Target="header31.xml"/><Relationship Id="rId48" Type="http://schemas.openxmlformats.org/officeDocument/2006/relationships/header" Target="header32.xml"/><Relationship Id="rId49" Type="http://schemas.openxmlformats.org/officeDocument/2006/relationships/header" Target="header33.xml"/><Relationship Id="rId50" Type="http://schemas.openxmlformats.org/officeDocument/2006/relationships/header" Target="header34.xml"/><Relationship Id="rId51" Type="http://schemas.openxmlformats.org/officeDocument/2006/relationships/header" Target="header35.xml"/><Relationship Id="rId52" Type="http://schemas.openxmlformats.org/officeDocument/2006/relationships/header" Target="header36.xml"/><Relationship Id="rId53" Type="http://schemas.openxmlformats.org/officeDocument/2006/relationships/header" Target="header37.xml"/><Relationship Id="rId54" Type="http://schemas.openxmlformats.org/officeDocument/2006/relationships/header" Target="header38.xml"/><Relationship Id="rId55" Type="http://schemas.openxmlformats.org/officeDocument/2006/relationships/header" Target="header39.xml"/><Relationship Id="rId56" Type="http://schemas.openxmlformats.org/officeDocument/2006/relationships/header" Target="header40.xml"/><Relationship Id="rId57" Type="http://schemas.openxmlformats.org/officeDocument/2006/relationships/header" Target="header41.xml"/><Relationship Id="rId58" Type="http://schemas.openxmlformats.org/officeDocument/2006/relationships/header" Target="header42.xml"/><Relationship Id="rId59" Type="http://schemas.openxmlformats.org/officeDocument/2006/relationships/header" Target="header43.xml"/><Relationship Id="rId60" Type="http://schemas.openxmlformats.org/officeDocument/2006/relationships/header" Target="header44.xml"/><Relationship Id="rId61" Type="http://schemas.openxmlformats.org/officeDocument/2006/relationships/header" Target="header45.xml"/><Relationship Id="rId62" Type="http://schemas.openxmlformats.org/officeDocument/2006/relationships/header" Target="header46.xml"/><Relationship Id="rId63" Type="http://schemas.openxmlformats.org/officeDocument/2006/relationships/hyperlink" Target="http://www.economist.com/news/briefing/21721634-how-it-shaping-up-data-giving-rise-new-economy" TargetMode="External"/><Relationship Id="rId64" Type="http://schemas.openxmlformats.org/officeDocument/2006/relationships/header" Target="header47.xml"/><Relationship Id="rId65" Type="http://schemas.openxmlformats.org/officeDocument/2006/relationships/header" Target="header48.xml"/><Relationship Id="rId66" Type="http://schemas.openxmlformats.org/officeDocument/2006/relationships/header" Target="header49.xml"/><Relationship Id="rId67" Type="http://schemas.openxmlformats.org/officeDocument/2006/relationships/header" Target="header50.xml"/><Relationship Id="rId68" Type="http://schemas.openxmlformats.org/officeDocument/2006/relationships/header" Target="header51.xml"/><Relationship Id="rId69" Type="http://schemas.openxmlformats.org/officeDocument/2006/relationships/header" Target="header52.xml"/><Relationship Id="rId70" Type="http://schemas.openxmlformats.org/officeDocument/2006/relationships/header" Target="header53.xml"/><Relationship Id="rId71" Type="http://schemas.openxmlformats.org/officeDocument/2006/relationships/header" Target="header54.xml"/><Relationship Id="rId72" Type="http://schemas.openxmlformats.org/officeDocument/2006/relationships/header" Target="header55.xml"/><Relationship Id="rId73" Type="http://schemas.openxmlformats.org/officeDocument/2006/relationships/header" Target="header56.xml"/><Relationship Id="rId74" Type="http://schemas.openxmlformats.org/officeDocument/2006/relationships/header" Target="header57.xml"/><Relationship Id="rId75" Type="http://schemas.openxmlformats.org/officeDocument/2006/relationships/header" Target="header58.xml"/><Relationship Id="rId76" Type="http://schemas.openxmlformats.org/officeDocument/2006/relationships/header" Target="header59.xml"/><Relationship Id="rId77" Type="http://schemas.openxmlformats.org/officeDocument/2006/relationships/header" Target="header60.xml"/><Relationship Id="rId78" Type="http://schemas.openxmlformats.org/officeDocument/2006/relationships/header" Target="header61.xml"/><Relationship Id="rId79" Type="http://schemas.openxmlformats.org/officeDocument/2006/relationships/image" Target="media/image10.png"/><Relationship Id="rId80" Type="http://schemas.openxmlformats.org/officeDocument/2006/relationships/header" Target="header62.xml"/><Relationship Id="rId81" Type="http://schemas.openxmlformats.org/officeDocument/2006/relationships/header" Target="header63.xml"/><Relationship Id="rId82" Type="http://schemas.openxmlformats.org/officeDocument/2006/relationships/header" Target="header64.xml"/><Relationship Id="rId83" Type="http://schemas.openxmlformats.org/officeDocument/2006/relationships/header" Target="header65.xml"/><Relationship Id="rId84" Type="http://schemas.openxmlformats.org/officeDocument/2006/relationships/header" Target="header66.xml"/><Relationship Id="rId85" Type="http://schemas.openxmlformats.org/officeDocument/2006/relationships/header" Target="header67.xml"/><Relationship Id="rId86" Type="http://schemas.openxmlformats.org/officeDocument/2006/relationships/header" Target="header68.xml"/><Relationship Id="rId87" Type="http://schemas.openxmlformats.org/officeDocument/2006/relationships/header" Target="header69.xml"/><Relationship Id="rId88" Type="http://schemas.openxmlformats.org/officeDocument/2006/relationships/header" Target="header70.xml"/><Relationship Id="rId89" Type="http://schemas.openxmlformats.org/officeDocument/2006/relationships/header" Target="header71.xml"/><Relationship Id="rId90" Type="http://schemas.openxmlformats.org/officeDocument/2006/relationships/header" Target="header72.xml"/><Relationship Id="rId91" Type="http://schemas.openxmlformats.org/officeDocument/2006/relationships/header" Target="header73.xml"/><Relationship Id="rId92" Type="http://schemas.openxmlformats.org/officeDocument/2006/relationships/header" Target="header74.xml"/><Relationship Id="rId93" Type="http://schemas.openxmlformats.org/officeDocument/2006/relationships/header" Target="header75.xml"/><Relationship Id="rId94" Type="http://schemas.openxmlformats.org/officeDocument/2006/relationships/header" Target="header76.xml"/><Relationship Id="rId95" Type="http://schemas.openxmlformats.org/officeDocument/2006/relationships/header" Target="header77.xml"/><Relationship Id="rId96" Type="http://schemas.openxmlformats.org/officeDocument/2006/relationships/header" Target="header78.xml"/><Relationship Id="rId97" Type="http://schemas.openxmlformats.org/officeDocument/2006/relationships/header" Target="header79.xml"/><Relationship Id="rId98" Type="http://schemas.openxmlformats.org/officeDocument/2006/relationships/header" Target="header80.xml"/><Relationship Id="rId99" Type="http://schemas.openxmlformats.org/officeDocument/2006/relationships/image" Target="media/image11.png"/><Relationship Id="rId100" Type="http://schemas.openxmlformats.org/officeDocument/2006/relationships/image" Target="media/image12.jpeg"/><Relationship Id="rId101" Type="http://schemas.openxmlformats.org/officeDocument/2006/relationships/header" Target="header81.xml"/><Relationship Id="rId102" Type="http://schemas.openxmlformats.org/officeDocument/2006/relationships/image" Target="media/image13.png"/><Relationship Id="rId103" Type="http://schemas.openxmlformats.org/officeDocument/2006/relationships/header" Target="header82.xml"/><Relationship Id="rId104" Type="http://schemas.openxmlformats.org/officeDocument/2006/relationships/image" Target="media/image14.png"/><Relationship Id="rId105" Type="http://schemas.openxmlformats.org/officeDocument/2006/relationships/header" Target="header83.xml"/><Relationship Id="rId106" Type="http://schemas.openxmlformats.org/officeDocument/2006/relationships/header" Target="header84.xml"/><Relationship Id="rId107" Type="http://schemas.openxmlformats.org/officeDocument/2006/relationships/header" Target="header85.xml"/><Relationship Id="rId108" Type="http://schemas.openxmlformats.org/officeDocument/2006/relationships/header" Target="header86.xml"/><Relationship Id="rId109" Type="http://schemas.openxmlformats.org/officeDocument/2006/relationships/header" Target="header87.xml"/><Relationship Id="rId110" Type="http://schemas.openxmlformats.org/officeDocument/2006/relationships/header" Target="header88.xml"/><Relationship Id="rId111" Type="http://schemas.openxmlformats.org/officeDocument/2006/relationships/header" Target="header89.xml"/><Relationship Id="rId112" Type="http://schemas.openxmlformats.org/officeDocument/2006/relationships/header" Target="header90.xml"/><Relationship Id="rId113" Type="http://schemas.openxmlformats.org/officeDocument/2006/relationships/header" Target="header91.xml"/><Relationship Id="rId114" Type="http://schemas.openxmlformats.org/officeDocument/2006/relationships/image" Target="media/image15.jpeg"/><Relationship Id="rId115" Type="http://schemas.openxmlformats.org/officeDocument/2006/relationships/image" Target="media/image16.jpeg"/><Relationship Id="rId116" Type="http://schemas.openxmlformats.org/officeDocument/2006/relationships/header" Target="header92.xml"/><Relationship Id="rId117" Type="http://schemas.openxmlformats.org/officeDocument/2006/relationships/image" Target="media/image17.jpeg"/><Relationship Id="rId118" Type="http://schemas.openxmlformats.org/officeDocument/2006/relationships/image" Target="media/image18.jpeg"/><Relationship Id="rId119" Type="http://schemas.openxmlformats.org/officeDocument/2006/relationships/header" Target="header93.xml"/><Relationship Id="rId120" Type="http://schemas.openxmlformats.org/officeDocument/2006/relationships/header" Target="header94.xml"/><Relationship Id="rId121" Type="http://schemas.openxmlformats.org/officeDocument/2006/relationships/header" Target="header95.xml"/><Relationship Id="rId122" Type="http://schemas.openxmlformats.org/officeDocument/2006/relationships/image" Target="media/image19.png"/><Relationship Id="rId123" Type="http://schemas.openxmlformats.org/officeDocument/2006/relationships/header" Target="header96.xml"/><Relationship Id="rId124" Type="http://schemas.openxmlformats.org/officeDocument/2006/relationships/header" Target="header97.xml"/><Relationship Id="rId125" Type="http://schemas.openxmlformats.org/officeDocument/2006/relationships/header" Target="header98.xml"/><Relationship Id="rId126" Type="http://schemas.openxmlformats.org/officeDocument/2006/relationships/header" Target="header99.xml"/><Relationship Id="rId127" Type="http://schemas.openxmlformats.org/officeDocument/2006/relationships/image" Target="media/image20.jpeg"/><Relationship Id="rId1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2022-03-20T03:49:45Z</dcterms:created>
  <dcterms:modified xsi:type="dcterms:W3CDTF">2022-03-20T03:49:45Z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Microsoft® Word 2010</vt:lpwstr>
  </property>
  <property fmtid="{D5CDD505-2E9C-101B-9397-08002B2CF9AE}" pid="4" name="LastSaved">
    <vt:filetime>2022-03-20T00:00:00Z</vt:filetime>
  </property>
</Properties>
</file>